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30"/>
          <w:szCs w:val="30"/>
        </w:rPr>
      </w:pPr>
    </w:p>
    <w:p>
      <w:pPr>
        <w:spacing w:line="360" w:lineRule="auto"/>
        <w:jc w:val="center"/>
        <w:rPr>
          <w:rFonts w:ascii="黑体" w:eastAsia="黑体"/>
          <w:sz w:val="30"/>
          <w:szCs w:val="30"/>
        </w:rPr>
      </w:pPr>
    </w:p>
    <w:p>
      <w:pPr>
        <w:spacing w:line="360" w:lineRule="auto"/>
        <w:jc w:val="center"/>
        <w:rPr>
          <w:rFonts w:ascii="黑体" w:eastAsia="黑体"/>
          <w:sz w:val="30"/>
          <w:szCs w:val="30"/>
        </w:rPr>
      </w:pPr>
    </w:p>
    <w:p>
      <w:pPr>
        <w:spacing w:line="360" w:lineRule="auto"/>
        <w:jc w:val="center"/>
        <w:rPr>
          <w:rFonts w:ascii="黑体" w:eastAsia="黑体"/>
          <w:sz w:val="30"/>
          <w:szCs w:val="30"/>
        </w:rPr>
      </w:pPr>
    </w:p>
    <w:p>
      <w:pPr>
        <w:spacing w:line="360" w:lineRule="auto"/>
        <w:rPr>
          <w:rFonts w:ascii="黑体" w:eastAsia="黑体"/>
          <w:sz w:val="30"/>
          <w:szCs w:val="30"/>
        </w:rPr>
      </w:pPr>
    </w:p>
    <w:p>
      <w:pPr>
        <w:spacing w:line="360" w:lineRule="auto"/>
        <w:jc w:val="center"/>
        <w:rPr>
          <w:rFonts w:ascii="华文中宋" w:hAnsi="华文中宋" w:eastAsia="华文中宋"/>
          <w:b/>
          <w:sz w:val="72"/>
          <w:szCs w:val="72"/>
        </w:rPr>
      </w:pPr>
      <w:r>
        <w:rPr>
          <w:rFonts w:hint="eastAsia" w:ascii="华文中宋" w:hAnsi="华文中宋" w:eastAsia="华文中宋"/>
          <w:b/>
          <w:sz w:val="72"/>
          <w:szCs w:val="72"/>
        </w:rPr>
        <w:t>上海市松江区九亭镇住房保障和房屋管理事务所</w:t>
      </w:r>
    </w:p>
    <w:p>
      <w:pPr>
        <w:spacing w:line="360" w:lineRule="auto"/>
        <w:jc w:val="center"/>
        <w:outlineLvl w:val="0"/>
        <w:rPr>
          <w:rFonts w:ascii="华文中宋" w:hAnsi="华文中宋" w:eastAsia="华文中宋"/>
          <w:b/>
          <w:sz w:val="72"/>
          <w:szCs w:val="72"/>
        </w:rPr>
      </w:pPr>
      <w:r>
        <w:rPr>
          <w:rFonts w:hint="eastAsia" w:ascii="华文中宋" w:hAnsi="华文中宋" w:eastAsia="华文中宋"/>
          <w:b/>
          <w:sz w:val="72"/>
          <w:szCs w:val="72"/>
        </w:rPr>
        <w:t>2021年度决算</w:t>
      </w:r>
    </w:p>
    <w:p>
      <w:pPr>
        <w:spacing w:line="360" w:lineRule="auto"/>
        <w:jc w:val="center"/>
        <w:rPr>
          <w:rFonts w:ascii="黑体" w:eastAsia="黑体"/>
          <w:sz w:val="84"/>
          <w:szCs w:val="84"/>
        </w:rPr>
      </w:pPr>
    </w:p>
    <w:p>
      <w:pPr>
        <w:spacing w:line="360" w:lineRule="auto"/>
        <w:jc w:val="center"/>
        <w:rPr>
          <w:rFonts w:ascii="黑体" w:hAnsi="华文中宋" w:eastAsia="黑体"/>
          <w:b/>
          <w:sz w:val="32"/>
          <w:szCs w:val="32"/>
        </w:rPr>
      </w:pPr>
      <w:r>
        <w:rPr>
          <w:rFonts w:ascii="华文中宋" w:hAnsi="华文中宋" w:eastAsia="华文中宋"/>
          <w:b/>
          <w:sz w:val="44"/>
          <w:szCs w:val="44"/>
        </w:rPr>
        <w:br w:type="page"/>
      </w:r>
      <w:r>
        <w:rPr>
          <w:rFonts w:hint="eastAsia" w:ascii="黑体" w:hAnsi="华文中宋" w:eastAsia="黑体"/>
          <w:b/>
          <w:sz w:val="32"/>
          <w:szCs w:val="32"/>
        </w:rPr>
        <w:t>目  录</w:t>
      </w:r>
    </w:p>
    <w:p>
      <w:pPr>
        <w:spacing w:line="360" w:lineRule="auto"/>
        <w:jc w:val="center"/>
        <w:rPr>
          <w:rFonts w:ascii="黑体" w:hAnsi="华文中宋" w:eastAsia="黑体"/>
          <w:b/>
          <w:sz w:val="32"/>
          <w:szCs w:val="32"/>
        </w:rPr>
      </w:pPr>
    </w:p>
    <w:p>
      <w:pPr>
        <w:spacing w:line="360" w:lineRule="auto"/>
        <w:rPr>
          <w:rFonts w:ascii="黑体" w:eastAsia="黑体"/>
          <w:sz w:val="30"/>
          <w:szCs w:val="30"/>
        </w:rPr>
      </w:pPr>
      <w:r>
        <w:rPr>
          <w:rFonts w:hint="eastAsia" w:ascii="黑体" w:eastAsia="黑体"/>
          <w:sz w:val="30"/>
          <w:szCs w:val="30"/>
        </w:rPr>
        <w:t>第一部分 上海市松江区九亭镇住房保障和房屋管理事务所概况</w:t>
      </w:r>
    </w:p>
    <w:p>
      <w:pPr>
        <w:spacing w:line="360" w:lineRule="auto"/>
        <w:rPr>
          <w:rFonts w:ascii="黑体" w:eastAsia="黑体"/>
          <w:sz w:val="30"/>
          <w:szCs w:val="30"/>
        </w:rPr>
      </w:pPr>
      <w:r>
        <w:rPr>
          <w:rFonts w:hint="eastAsia" w:ascii="楷体_GB2312" w:eastAsia="楷体_GB2312"/>
          <w:sz w:val="30"/>
          <w:szCs w:val="30"/>
        </w:rPr>
        <w:t>一、主要职能</w:t>
      </w:r>
    </w:p>
    <w:p>
      <w:pPr>
        <w:spacing w:line="360" w:lineRule="auto"/>
        <w:rPr>
          <w:rFonts w:ascii="黑体" w:eastAsia="黑体"/>
          <w:sz w:val="30"/>
          <w:szCs w:val="30"/>
        </w:rPr>
      </w:pPr>
      <w:r>
        <w:rPr>
          <w:rFonts w:hint="eastAsia" w:ascii="楷体_GB2312" w:eastAsia="楷体_GB2312"/>
          <w:sz w:val="30"/>
          <w:szCs w:val="30"/>
        </w:rPr>
        <w:t>二、机构设置</w:t>
      </w:r>
    </w:p>
    <w:p>
      <w:pPr>
        <w:spacing w:line="360" w:lineRule="auto"/>
        <w:rPr>
          <w:rFonts w:ascii="黑体" w:eastAsia="黑体"/>
          <w:sz w:val="30"/>
          <w:szCs w:val="30"/>
        </w:rPr>
      </w:pPr>
      <w:r>
        <w:rPr>
          <w:rFonts w:hint="eastAsia" w:ascii="黑体" w:eastAsia="黑体"/>
          <w:sz w:val="30"/>
          <w:szCs w:val="30"/>
        </w:rPr>
        <w:t>第二部分 上海市松江区九亭镇住房保障和房屋管理事务所2021年度部门决算表</w:t>
      </w:r>
    </w:p>
    <w:p>
      <w:pPr>
        <w:spacing w:line="360" w:lineRule="auto"/>
        <w:rPr>
          <w:rFonts w:ascii="黑体" w:eastAsia="黑体"/>
          <w:sz w:val="30"/>
          <w:szCs w:val="30"/>
        </w:rPr>
      </w:pPr>
      <w:r>
        <w:rPr>
          <w:rFonts w:hint="eastAsia" w:ascii="楷体_GB2312" w:eastAsia="楷体_GB2312"/>
          <w:sz w:val="30"/>
          <w:szCs w:val="30"/>
        </w:rPr>
        <w:t>一、收入支出决算总表</w:t>
      </w:r>
    </w:p>
    <w:p>
      <w:pPr>
        <w:spacing w:line="360" w:lineRule="auto"/>
        <w:rPr>
          <w:rFonts w:ascii="黑体" w:eastAsia="黑体"/>
          <w:sz w:val="30"/>
          <w:szCs w:val="30"/>
        </w:rPr>
      </w:pPr>
      <w:r>
        <w:rPr>
          <w:rFonts w:hint="eastAsia" w:ascii="楷体_GB2312" w:eastAsia="楷体_GB2312"/>
          <w:sz w:val="30"/>
          <w:szCs w:val="30"/>
        </w:rPr>
        <w:t>二、收入决算表</w:t>
      </w:r>
    </w:p>
    <w:p>
      <w:pPr>
        <w:spacing w:line="360" w:lineRule="auto"/>
        <w:rPr>
          <w:rFonts w:ascii="黑体" w:eastAsia="黑体"/>
          <w:sz w:val="30"/>
          <w:szCs w:val="30"/>
        </w:rPr>
      </w:pPr>
      <w:r>
        <w:rPr>
          <w:rFonts w:hint="eastAsia" w:ascii="楷体_GB2312" w:eastAsia="楷体_GB2312"/>
          <w:sz w:val="30"/>
          <w:szCs w:val="30"/>
        </w:rPr>
        <w:t>三、支出决算表</w:t>
      </w:r>
    </w:p>
    <w:p>
      <w:pPr>
        <w:spacing w:line="360" w:lineRule="auto"/>
        <w:rPr>
          <w:rFonts w:ascii="黑体" w:eastAsia="黑体"/>
          <w:sz w:val="30"/>
          <w:szCs w:val="30"/>
        </w:rPr>
      </w:pPr>
      <w:r>
        <w:rPr>
          <w:rFonts w:hint="eastAsia" w:ascii="楷体_GB2312" w:eastAsia="楷体_GB2312"/>
          <w:sz w:val="30"/>
          <w:szCs w:val="30"/>
        </w:rPr>
        <w:t>四、财政拨款收入支出决算总表</w:t>
      </w:r>
    </w:p>
    <w:p>
      <w:pPr>
        <w:spacing w:line="360" w:lineRule="auto"/>
        <w:rPr>
          <w:rFonts w:ascii="黑体" w:eastAsia="黑体"/>
          <w:sz w:val="30"/>
          <w:szCs w:val="30"/>
        </w:rPr>
      </w:pPr>
      <w:r>
        <w:rPr>
          <w:rFonts w:hint="eastAsia" w:ascii="楷体_GB2312" w:eastAsia="楷体_GB2312"/>
          <w:sz w:val="30"/>
          <w:szCs w:val="30"/>
        </w:rPr>
        <w:t>五、一般公共预算财政拨款支出决算表</w:t>
      </w:r>
    </w:p>
    <w:p>
      <w:pPr>
        <w:spacing w:line="360" w:lineRule="auto"/>
        <w:rPr>
          <w:rFonts w:ascii="黑体" w:eastAsia="黑体"/>
          <w:sz w:val="30"/>
          <w:szCs w:val="30"/>
        </w:rPr>
      </w:pPr>
      <w:r>
        <w:rPr>
          <w:rFonts w:hint="eastAsia" w:ascii="楷体_GB2312" w:eastAsia="楷体_GB2312"/>
          <w:sz w:val="30"/>
          <w:szCs w:val="30"/>
        </w:rPr>
        <w:t>六、一般公共预算财政拨款基本支出决算表</w:t>
      </w:r>
    </w:p>
    <w:p>
      <w:pPr>
        <w:spacing w:line="360" w:lineRule="auto"/>
        <w:rPr>
          <w:rFonts w:ascii="楷体_GB2312" w:eastAsia="楷体_GB2312"/>
          <w:color w:val="000000"/>
          <w:sz w:val="30"/>
          <w:szCs w:val="30"/>
        </w:rPr>
      </w:pPr>
      <w:r>
        <w:rPr>
          <w:rFonts w:hint="eastAsia" w:ascii="楷体_GB2312" w:eastAsia="楷体_GB2312"/>
          <w:color w:val="000000"/>
          <w:sz w:val="30"/>
          <w:szCs w:val="30"/>
        </w:rPr>
        <w:t>七、一般公共预算财政拨款“三公”经费支出决算表</w:t>
      </w:r>
    </w:p>
    <w:p>
      <w:pPr>
        <w:spacing w:line="360" w:lineRule="auto"/>
        <w:rPr>
          <w:rFonts w:ascii="楷体_GB2312" w:eastAsia="楷体_GB2312"/>
          <w:sz w:val="30"/>
          <w:szCs w:val="30"/>
        </w:rPr>
      </w:pPr>
      <w:r>
        <w:rPr>
          <w:rFonts w:hint="eastAsia" w:ascii="楷体_GB2312" w:eastAsia="楷体_GB2312"/>
          <w:sz w:val="30"/>
          <w:szCs w:val="30"/>
        </w:rPr>
        <w:t>八、政府性基金预算财政拨款收入支出决算表</w:t>
      </w:r>
    </w:p>
    <w:p>
      <w:pPr>
        <w:spacing w:line="360" w:lineRule="auto"/>
        <w:rPr>
          <w:rFonts w:ascii="楷体_GB2312" w:eastAsia="楷体_GB2312"/>
          <w:sz w:val="30"/>
          <w:szCs w:val="30"/>
        </w:rPr>
      </w:pPr>
      <w:r>
        <w:rPr>
          <w:rFonts w:hint="eastAsia" w:ascii="楷体_GB2312" w:eastAsia="楷体_GB2312"/>
          <w:sz w:val="30"/>
          <w:szCs w:val="30"/>
        </w:rPr>
        <w:t>九、国有资本经营预算财政拨款收入支出决算表</w:t>
      </w:r>
    </w:p>
    <w:p>
      <w:pPr>
        <w:spacing w:line="360" w:lineRule="auto"/>
        <w:rPr>
          <w:rFonts w:ascii="黑体" w:eastAsia="黑体"/>
          <w:sz w:val="30"/>
          <w:szCs w:val="30"/>
        </w:rPr>
      </w:pPr>
      <w:r>
        <w:rPr>
          <w:rFonts w:hint="eastAsia" w:ascii="黑体" w:eastAsia="黑体"/>
          <w:sz w:val="30"/>
          <w:szCs w:val="30"/>
        </w:rPr>
        <w:t>第三部分 上海市松江区九亭镇住房保障和房屋管理事务所2020年度部门决算情况说明</w:t>
      </w:r>
    </w:p>
    <w:p>
      <w:pPr>
        <w:spacing w:line="360" w:lineRule="auto"/>
        <w:rPr>
          <w:rFonts w:ascii="黑体" w:eastAsia="黑体"/>
          <w:sz w:val="30"/>
          <w:szCs w:val="30"/>
        </w:rPr>
      </w:pPr>
      <w:r>
        <w:rPr>
          <w:rFonts w:hint="eastAsia" w:ascii="楷体_GB2312" w:eastAsia="楷体_GB2312"/>
          <w:sz w:val="30"/>
          <w:szCs w:val="30"/>
        </w:rPr>
        <w:t>一、收入支出决算总体情况说明</w:t>
      </w:r>
    </w:p>
    <w:p>
      <w:pPr>
        <w:spacing w:line="360" w:lineRule="auto"/>
        <w:rPr>
          <w:rFonts w:ascii="黑体" w:eastAsia="黑体"/>
          <w:sz w:val="30"/>
          <w:szCs w:val="30"/>
        </w:rPr>
      </w:pPr>
      <w:r>
        <w:rPr>
          <w:rFonts w:hint="eastAsia" w:ascii="楷体_GB2312" w:eastAsia="楷体_GB2312"/>
          <w:sz w:val="30"/>
          <w:szCs w:val="30"/>
        </w:rPr>
        <w:t>二、收入决算情况说明</w:t>
      </w:r>
    </w:p>
    <w:p>
      <w:pPr>
        <w:spacing w:line="360" w:lineRule="auto"/>
        <w:rPr>
          <w:rFonts w:ascii="黑体" w:eastAsia="黑体"/>
          <w:sz w:val="30"/>
          <w:szCs w:val="30"/>
        </w:rPr>
      </w:pPr>
      <w:r>
        <w:rPr>
          <w:rFonts w:hint="eastAsia" w:ascii="楷体_GB2312" w:eastAsia="楷体_GB2312"/>
          <w:sz w:val="30"/>
          <w:szCs w:val="30"/>
        </w:rPr>
        <w:t>三、支出决算情况说明</w:t>
      </w:r>
    </w:p>
    <w:p>
      <w:pPr>
        <w:outlineLvl w:val="0"/>
        <w:rPr>
          <w:rFonts w:ascii="楷体_GB2312" w:eastAsia="楷体_GB2312"/>
          <w:sz w:val="30"/>
          <w:szCs w:val="30"/>
        </w:rPr>
      </w:pPr>
      <w:r>
        <w:rPr>
          <w:rFonts w:hint="eastAsia" w:ascii="楷体_GB2312" w:eastAsia="楷体_GB2312"/>
          <w:sz w:val="30"/>
          <w:szCs w:val="30"/>
        </w:rPr>
        <w:t>四、财政拨款收入支出决算总体情况说明</w:t>
      </w:r>
    </w:p>
    <w:p>
      <w:pPr>
        <w:outlineLvl w:val="0"/>
        <w:rPr>
          <w:rFonts w:ascii="楷体_GB2312" w:eastAsia="楷体_GB2312"/>
          <w:sz w:val="30"/>
          <w:szCs w:val="30"/>
        </w:rPr>
      </w:pPr>
      <w:r>
        <w:rPr>
          <w:rFonts w:hint="eastAsia" w:ascii="楷体_GB2312" w:eastAsia="楷体_GB2312"/>
          <w:sz w:val="30"/>
          <w:szCs w:val="30"/>
        </w:rPr>
        <w:t>五、一般公共预算财政拨款支出决算情况说明</w:t>
      </w:r>
    </w:p>
    <w:p>
      <w:pPr>
        <w:outlineLvl w:val="0"/>
        <w:rPr>
          <w:rFonts w:ascii="楷体_GB2312" w:eastAsia="楷体_GB2312"/>
          <w:sz w:val="30"/>
          <w:szCs w:val="30"/>
        </w:rPr>
      </w:pPr>
      <w:r>
        <w:rPr>
          <w:rFonts w:hint="eastAsia" w:ascii="楷体_GB2312" w:eastAsia="楷体_GB2312"/>
          <w:sz w:val="30"/>
          <w:szCs w:val="30"/>
        </w:rPr>
        <w:t>六、一般公共预算财政拨款基本支出决算情况说明</w:t>
      </w:r>
    </w:p>
    <w:p>
      <w:pPr>
        <w:outlineLvl w:val="0"/>
        <w:rPr>
          <w:rFonts w:ascii="楷体_GB2312" w:eastAsia="楷体_GB2312"/>
          <w:sz w:val="30"/>
          <w:szCs w:val="30"/>
        </w:rPr>
      </w:pPr>
      <w:r>
        <w:rPr>
          <w:rFonts w:hint="eastAsia" w:ascii="楷体_GB2312" w:eastAsia="楷体_GB2312"/>
          <w:color w:val="000000"/>
          <w:sz w:val="30"/>
          <w:szCs w:val="30"/>
        </w:rPr>
        <w:t>七、</w:t>
      </w:r>
      <w:r>
        <w:rPr>
          <w:rFonts w:hint="eastAsia" w:ascii="楷体_GB2312" w:eastAsia="楷体_GB2312"/>
          <w:sz w:val="30"/>
          <w:szCs w:val="30"/>
        </w:rPr>
        <w:t>一般公共预算财政拨款“三公”经费支出决算情况说明</w:t>
      </w:r>
    </w:p>
    <w:p>
      <w:pPr>
        <w:outlineLvl w:val="0"/>
        <w:rPr>
          <w:rFonts w:ascii="楷体_GB2312" w:eastAsia="楷体_GB2312"/>
          <w:sz w:val="30"/>
          <w:szCs w:val="30"/>
        </w:rPr>
      </w:pPr>
      <w:r>
        <w:rPr>
          <w:rFonts w:hint="eastAsia" w:ascii="楷体_GB2312" w:eastAsia="楷体_GB2312"/>
          <w:sz w:val="30"/>
          <w:szCs w:val="30"/>
        </w:rPr>
        <w:t>八、政府性基金预算财政拨款收入支出决算情况说明</w:t>
      </w:r>
    </w:p>
    <w:p>
      <w:pPr>
        <w:outlineLvl w:val="0"/>
        <w:rPr>
          <w:rFonts w:ascii="楷体_GB2312" w:eastAsia="楷体_GB2312"/>
          <w:sz w:val="30"/>
          <w:szCs w:val="30"/>
        </w:rPr>
      </w:pPr>
      <w:r>
        <w:rPr>
          <w:rFonts w:hint="eastAsia" w:ascii="楷体_GB2312" w:eastAsia="楷体_GB2312"/>
          <w:sz w:val="30"/>
          <w:szCs w:val="30"/>
        </w:rPr>
        <w:t>九、国有资本经营预算财政拨款收入支出决算情况说明</w:t>
      </w:r>
    </w:p>
    <w:p>
      <w:pPr>
        <w:spacing w:line="360" w:lineRule="auto"/>
        <w:rPr>
          <w:rFonts w:ascii="楷体_GB2312" w:eastAsia="楷体_GB2312"/>
          <w:sz w:val="30"/>
          <w:szCs w:val="30"/>
        </w:rPr>
      </w:pPr>
      <w:r>
        <w:rPr>
          <w:rFonts w:hint="eastAsia" w:ascii="楷体_GB2312" w:eastAsia="楷体_GB2312"/>
          <w:sz w:val="30"/>
          <w:szCs w:val="30"/>
        </w:rPr>
        <w:t>十、预算绩效情况说明</w:t>
      </w:r>
    </w:p>
    <w:p>
      <w:pPr>
        <w:spacing w:line="360" w:lineRule="auto"/>
        <w:rPr>
          <w:rFonts w:ascii="黑体" w:eastAsia="黑体"/>
          <w:color w:val="000000"/>
          <w:sz w:val="30"/>
          <w:szCs w:val="30"/>
        </w:rPr>
      </w:pPr>
      <w:r>
        <w:rPr>
          <w:rFonts w:hint="eastAsia" w:ascii="楷体_GB2312" w:eastAsia="楷体_GB2312"/>
          <w:color w:val="000000"/>
          <w:sz w:val="30"/>
          <w:szCs w:val="30"/>
        </w:rPr>
        <w:t>十一、其他重要事项说明</w:t>
      </w:r>
    </w:p>
    <w:p>
      <w:pPr>
        <w:spacing w:line="360" w:lineRule="auto"/>
        <w:rPr>
          <w:rFonts w:ascii="黑体" w:eastAsia="黑体"/>
          <w:sz w:val="30"/>
          <w:szCs w:val="30"/>
        </w:rPr>
      </w:pPr>
      <w:r>
        <w:rPr>
          <w:rFonts w:hint="eastAsia" w:ascii="黑体" w:eastAsia="黑体"/>
          <w:sz w:val="30"/>
          <w:szCs w:val="30"/>
        </w:rPr>
        <w:t>第四部分 名词解释</w:t>
      </w:r>
    </w:p>
    <w:p>
      <w:pPr>
        <w:jc w:val="center"/>
        <w:rPr>
          <w:rFonts w:ascii="华文中宋" w:hAnsi="华文中宋" w:eastAsia="华文中宋"/>
          <w:b/>
          <w:sz w:val="36"/>
        </w:rPr>
      </w:pPr>
      <w:r>
        <w:rPr>
          <w:rFonts w:ascii="华文中宋" w:hAnsi="华文中宋" w:eastAsia="华文中宋"/>
          <w:b/>
          <w:sz w:val="36"/>
        </w:rPr>
        <w:br w:type="page"/>
      </w:r>
      <w:r>
        <w:rPr>
          <w:rFonts w:hint="eastAsia" w:ascii="黑体" w:eastAsia="黑体"/>
          <w:sz w:val="30"/>
          <w:szCs w:val="30"/>
        </w:rPr>
        <w:t>第一部分 上海市松江区九亭镇住房保障和房屋管理事务所概况</w:t>
      </w:r>
    </w:p>
    <w:p>
      <w:pPr>
        <w:jc w:val="center"/>
        <w:rPr>
          <w:rFonts w:ascii="黑体" w:eastAsia="黑体"/>
          <w:sz w:val="30"/>
          <w:szCs w:val="30"/>
        </w:rPr>
      </w:pPr>
    </w:p>
    <w:p>
      <w:pPr>
        <w:ind w:firstLine="602" w:firstLineChars="200"/>
        <w:outlineLvl w:val="0"/>
        <w:rPr>
          <w:rFonts w:ascii="楷体_GB2312" w:eastAsia="楷体_GB2312"/>
          <w:b/>
          <w:sz w:val="30"/>
          <w:szCs w:val="30"/>
        </w:rPr>
      </w:pPr>
      <w:r>
        <w:rPr>
          <w:rFonts w:hint="eastAsia" w:ascii="楷体_GB2312" w:eastAsia="楷体_GB2312"/>
          <w:b/>
          <w:sz w:val="30"/>
          <w:szCs w:val="30"/>
        </w:rPr>
        <w:t>一、主要职能</w:t>
      </w:r>
    </w:p>
    <w:p>
      <w:pPr>
        <w:ind w:firstLine="600" w:firstLineChars="200"/>
        <w:rPr>
          <w:rFonts w:ascii="仿宋_GB2312" w:eastAsia="仿宋_GB2312"/>
          <w:sz w:val="30"/>
          <w:szCs w:val="30"/>
        </w:rPr>
      </w:pPr>
      <w:r>
        <w:rPr>
          <w:rFonts w:hint="eastAsia" w:ascii="仿宋_GB2312" w:eastAsia="仿宋_GB2312"/>
          <w:sz w:val="30"/>
          <w:szCs w:val="30"/>
        </w:rPr>
        <w:t>根据相关法律、法规的规定，松江区九亭镇住房保障和房屋管理事务所负债所辖区域内房屋的行政管理，具体承担物业管理、执法监督、住房保障、信息管理以及政策法规宣传等工作。</w:t>
      </w:r>
    </w:p>
    <w:p>
      <w:pPr>
        <w:ind w:firstLine="602" w:firstLineChars="200"/>
        <w:outlineLvl w:val="0"/>
        <w:rPr>
          <w:rFonts w:ascii="楷体_GB2312" w:eastAsia="楷体_GB2312"/>
          <w:b/>
          <w:sz w:val="30"/>
          <w:szCs w:val="30"/>
        </w:rPr>
      </w:pPr>
      <w:r>
        <w:rPr>
          <w:rFonts w:hint="eastAsia" w:ascii="楷体_GB2312" w:eastAsia="楷体_GB2312"/>
          <w:b/>
          <w:sz w:val="30"/>
          <w:szCs w:val="30"/>
        </w:rPr>
        <w:t>二、机构设置</w:t>
      </w:r>
    </w:p>
    <w:p>
      <w:pPr>
        <w:ind w:firstLine="600" w:firstLineChars="200"/>
        <w:rPr>
          <w:rFonts w:ascii="仿宋_GB2312" w:eastAsia="仿宋_GB2312"/>
          <w:sz w:val="30"/>
          <w:szCs w:val="30"/>
        </w:rPr>
      </w:pPr>
      <w:r>
        <w:rPr>
          <w:rFonts w:hint="eastAsia" w:ascii="仿宋_GB2312" w:hAnsi="宋体" w:eastAsia="仿宋_GB2312"/>
          <w:sz w:val="30"/>
          <w:szCs w:val="30"/>
        </w:rPr>
        <w:t>根据上述职责，上海市松江区九亭镇住房保障和房屋管理事务所无</w:t>
      </w:r>
      <w:r>
        <w:rPr>
          <w:rFonts w:hint="eastAsia" w:ascii="仿宋_GB2312" w:eastAsia="仿宋_GB2312"/>
          <w:sz w:val="30"/>
          <w:szCs w:val="30"/>
        </w:rPr>
        <w:t>内设机构。</w:t>
      </w:r>
    </w:p>
    <w:p>
      <w:pPr>
        <w:jc w:val="center"/>
        <w:rPr>
          <w:rFonts w:ascii="仿宋_GB2312" w:eastAsia="仿宋_GB2312"/>
          <w:sz w:val="30"/>
          <w:szCs w:val="30"/>
        </w:rPr>
      </w:pPr>
      <w:r>
        <w:rPr>
          <w:rFonts w:ascii="仿宋_GB2312" w:eastAsia="仿宋_GB2312"/>
          <w:sz w:val="30"/>
          <w:szCs w:val="30"/>
        </w:rPr>
        <w:br w:type="page"/>
      </w:r>
      <w:r>
        <w:rPr>
          <w:rFonts w:hint="eastAsia" w:ascii="黑体" w:eastAsia="黑体"/>
          <w:sz w:val="30"/>
          <w:szCs w:val="30"/>
        </w:rPr>
        <w:t>第二部分    上海市松江区九亭镇住房保障和房屋管理事务所2021年度部门决算表</w:t>
      </w:r>
    </w:p>
    <w:p>
      <w:pPr>
        <w:autoSpaceDE w:val="0"/>
        <w:autoSpaceDN w:val="0"/>
        <w:adjustRightInd w:val="0"/>
        <w:jc w:val="center"/>
        <w:outlineLvl w:val="0"/>
        <w:rPr>
          <w:rFonts w:ascii="宋体" w:hAnsi="宋体"/>
          <w:szCs w:val="21"/>
        </w:rPr>
      </w:pPr>
      <w:r>
        <w:rPr>
          <w:rFonts w:hint="eastAsia" w:ascii="宋体" w:hAnsi="宋体"/>
          <w:szCs w:val="21"/>
        </w:rPr>
        <w:t>收入支出决算总表</w:t>
      </w:r>
    </w:p>
    <w:p>
      <w:pPr>
        <w:wordWrap w:val="0"/>
        <w:autoSpaceDE w:val="0"/>
        <w:autoSpaceDN w:val="0"/>
        <w:adjustRightInd w:val="0"/>
        <w:jc w:val="right"/>
        <w:rPr>
          <w:rFonts w:ascii="宋体" w:hAnsi="宋体"/>
          <w:b/>
          <w:szCs w:val="21"/>
        </w:rPr>
      </w:pPr>
      <w:r>
        <w:rPr>
          <w:rFonts w:hint="eastAsia" w:ascii="宋体" w:hAnsi="宋体"/>
          <w:szCs w:val="21"/>
        </w:rPr>
        <w:t xml:space="preserve">   单位：万元</w:t>
      </w:r>
    </w:p>
    <w:tbl>
      <w:tblPr>
        <w:tblStyle w:val="8"/>
        <w:tblW w:w="9407" w:type="dxa"/>
        <w:jc w:val="center"/>
        <w:tblLayout w:type="fixed"/>
        <w:tblCellMar>
          <w:top w:w="0" w:type="dxa"/>
          <w:left w:w="108" w:type="dxa"/>
          <w:bottom w:w="0" w:type="dxa"/>
          <w:right w:w="108" w:type="dxa"/>
        </w:tblCellMar>
      </w:tblPr>
      <w:tblGrid>
        <w:gridCol w:w="3608"/>
        <w:gridCol w:w="1160"/>
        <w:gridCol w:w="3340"/>
        <w:gridCol w:w="1299"/>
      </w:tblGrid>
      <w:tr>
        <w:tblPrEx>
          <w:tblCellMar>
            <w:top w:w="0" w:type="dxa"/>
            <w:left w:w="108" w:type="dxa"/>
            <w:bottom w:w="0" w:type="dxa"/>
            <w:right w:w="108" w:type="dxa"/>
          </w:tblCellMar>
        </w:tblPrEx>
        <w:trPr>
          <w:trHeight w:val="20" w:hRule="atLeast"/>
          <w:jc w:val="center"/>
        </w:trPr>
        <w:tc>
          <w:tcPr>
            <w:tcW w:w="4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收入</w:t>
            </w:r>
          </w:p>
        </w:tc>
        <w:tc>
          <w:tcPr>
            <w:tcW w:w="4639"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支出</w:t>
            </w: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决算数</w:t>
            </w:r>
          </w:p>
        </w:tc>
        <w:tc>
          <w:tcPr>
            <w:tcW w:w="33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决算数</w:t>
            </w: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一、一般公共预算财政拨款收入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2795.69</w:t>
            </w: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一、一般公共服务支出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二、政府性基金预算财政拨款收入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二、外交支出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ascii="宋体" w:hAnsi="宋体"/>
                <w:color w:val="FF0000"/>
                <w:szCs w:val="21"/>
              </w:rPr>
              <w:t>三、国有资本经营预算财政拨款收入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三、国防支出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四、上级补助收入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四、公共安全支出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五、事业收入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五、教育支出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六、经营收入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六、科学技术支出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七、附属单位上缴收入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七、文化旅游体育与传媒支出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八、其他收入</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八、社会保障和就业支出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18.24</w:t>
            </w: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九、卫生健康支出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7.24</w:t>
            </w: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十、节能环保支出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十一、城乡社区支出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十二、农林水支出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十三、交通运输支出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十四、资源勘探工业信息等支出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十五、商业服务业等支出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十六、金融支出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十七、援助其他地区支出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十八、自然资源海洋气象等支出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十九、住房保障支出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2770.21</w:t>
            </w: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二十、粮油物资储备支出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olor w:val="FF0000"/>
                <w:szCs w:val="21"/>
              </w:rPr>
            </w:pPr>
            <w:r>
              <w:rPr>
                <w:rFonts w:hint="eastAsia" w:ascii="宋体" w:hAnsi="宋体"/>
                <w:color w:val="FF0000"/>
                <w:szCs w:val="21"/>
              </w:rPr>
              <w:t>二十一、国有资本经营预算支出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二十二、灾害防治及应急管理支出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二十三、其他支出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olor w:val="FF0000"/>
                <w:szCs w:val="21"/>
              </w:rPr>
            </w:pPr>
            <w:r>
              <w:rPr>
                <w:rFonts w:hint="eastAsia" w:ascii="宋体" w:hAnsi="宋体"/>
                <w:color w:val="FF0000"/>
                <w:szCs w:val="21"/>
              </w:rPr>
              <w:t>二十四、抗疫特别国债安排的支出</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本年收入合计</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2795.69</w:t>
            </w:r>
          </w:p>
        </w:tc>
        <w:tc>
          <w:tcPr>
            <w:tcW w:w="33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本年支出合计</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2795.69</w:t>
            </w: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szCs w:val="21"/>
              </w:rPr>
            </w:pPr>
            <w:r>
              <w:rPr>
                <w:rFonts w:hint="eastAsia" w:ascii="宋体" w:hAnsi="宋体"/>
                <w:color w:val="FF0000"/>
                <w:szCs w:val="21"/>
              </w:rPr>
              <w:t>使用非财政拨款结余</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结余分配</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年初结转和结余</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334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年末结转和结余</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20" w:hRule="atLeast"/>
          <w:jc w:val="center"/>
        </w:trPr>
        <w:tc>
          <w:tcPr>
            <w:tcW w:w="36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总计</w:t>
            </w:r>
          </w:p>
        </w:tc>
        <w:tc>
          <w:tcPr>
            <w:tcW w:w="11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2795.69</w:t>
            </w:r>
          </w:p>
        </w:tc>
        <w:tc>
          <w:tcPr>
            <w:tcW w:w="33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总计</w:t>
            </w:r>
          </w:p>
        </w:tc>
        <w:tc>
          <w:tcPr>
            <w:tcW w:w="12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cs="Arial"/>
                <w:color w:val="000000"/>
                <w:sz w:val="22"/>
              </w:rPr>
              <w:t>2795.69</w:t>
            </w:r>
          </w:p>
        </w:tc>
      </w:tr>
    </w:tbl>
    <w:p>
      <w:pPr>
        <w:autoSpaceDE w:val="0"/>
        <w:autoSpaceDN w:val="0"/>
        <w:adjustRightInd w:val="0"/>
        <w:rPr>
          <w:rFonts w:ascii="宋体" w:hAnsi="宋体"/>
          <w:color w:val="FF0000"/>
          <w:szCs w:val="21"/>
        </w:rPr>
        <w:sectPr>
          <w:headerReference r:id="rId3" w:type="default"/>
          <w:footerReference r:id="rId4" w:type="default"/>
          <w:pgSz w:w="11906" w:h="16838"/>
          <w:pgMar w:top="1440" w:right="1797" w:bottom="1440" w:left="1797" w:header="851" w:footer="992" w:gutter="0"/>
          <w:cols w:space="425" w:num="1"/>
          <w:docGrid w:type="lines" w:linePitch="312" w:charSpace="0"/>
        </w:sectPr>
      </w:pPr>
      <w:r>
        <w:rPr>
          <w:rFonts w:hint="eastAsia" w:ascii="宋体" w:hAnsi="宋体"/>
          <w:color w:val="FF0000"/>
          <w:szCs w:val="21"/>
        </w:rPr>
        <w:t>注：本表反映单位本年度的总收支和年末结转结余情况。</w:t>
      </w:r>
    </w:p>
    <w:p>
      <w:pPr>
        <w:autoSpaceDE w:val="0"/>
        <w:autoSpaceDN w:val="0"/>
        <w:adjustRightInd w:val="0"/>
        <w:jc w:val="center"/>
        <w:outlineLvl w:val="0"/>
        <w:rPr>
          <w:rFonts w:ascii="宋体" w:hAnsi="宋体"/>
          <w:szCs w:val="21"/>
        </w:rPr>
      </w:pPr>
      <w:r>
        <w:rPr>
          <w:rFonts w:hint="eastAsia" w:ascii="宋体" w:hAnsi="宋体"/>
          <w:szCs w:val="21"/>
        </w:rPr>
        <w:t>收入决算表</w:t>
      </w:r>
    </w:p>
    <w:p>
      <w:pPr>
        <w:autoSpaceDE w:val="0"/>
        <w:autoSpaceDN w:val="0"/>
        <w:adjustRightInd w:val="0"/>
        <w:ind w:firstLine="11130" w:firstLineChars="5300"/>
        <w:outlineLvl w:val="0"/>
        <w:rPr>
          <w:rFonts w:ascii="宋体" w:hAnsi="宋体"/>
          <w:szCs w:val="21"/>
        </w:rPr>
      </w:pPr>
      <w:r>
        <w:rPr>
          <w:rFonts w:hint="eastAsia" w:ascii="宋体" w:hAnsi="宋体"/>
          <w:szCs w:val="21"/>
        </w:rPr>
        <w:t>单位：万元</w:t>
      </w:r>
    </w:p>
    <w:tbl>
      <w:tblPr>
        <w:tblStyle w:val="8"/>
        <w:tblW w:w="12236" w:type="dxa"/>
        <w:tblInd w:w="98" w:type="dxa"/>
        <w:tblLayout w:type="autofit"/>
        <w:tblCellMar>
          <w:top w:w="0" w:type="dxa"/>
          <w:left w:w="108" w:type="dxa"/>
          <w:bottom w:w="0" w:type="dxa"/>
          <w:right w:w="108" w:type="dxa"/>
        </w:tblCellMar>
      </w:tblPr>
      <w:tblGrid>
        <w:gridCol w:w="436"/>
        <w:gridCol w:w="436"/>
        <w:gridCol w:w="436"/>
        <w:gridCol w:w="2671"/>
        <w:gridCol w:w="1560"/>
        <w:gridCol w:w="1559"/>
        <w:gridCol w:w="993"/>
        <w:gridCol w:w="851"/>
        <w:gridCol w:w="850"/>
        <w:gridCol w:w="850"/>
        <w:gridCol w:w="851"/>
        <w:gridCol w:w="743"/>
      </w:tblGrid>
      <w:tr>
        <w:tblPrEx>
          <w:tblCellMar>
            <w:top w:w="0" w:type="dxa"/>
            <w:left w:w="108" w:type="dxa"/>
            <w:bottom w:w="0" w:type="dxa"/>
            <w:right w:w="108" w:type="dxa"/>
          </w:tblCellMar>
        </w:tblPrEx>
        <w:trPr>
          <w:trHeight w:val="308" w:hRule="atLeast"/>
        </w:trPr>
        <w:tc>
          <w:tcPr>
            <w:tcW w:w="397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55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99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701" w:type="dxa"/>
            <w:gridSpan w:val="2"/>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85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85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743"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支出功能分类科目编码</w:t>
            </w:r>
          </w:p>
        </w:tc>
        <w:tc>
          <w:tcPr>
            <w:tcW w:w="2671"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85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其中：教育收费</w:t>
            </w: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3"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3"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3"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26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59"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93"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5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5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5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5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743"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r>
      <w:tr>
        <w:tblPrEx>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2,795.69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2,795.69</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12.28</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2080506</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机关事业单位职业年金缴费支出</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5.83</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5.83</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住房保障支出</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2,770.21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2,770.21</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22102</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住房改革支出</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2210201</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22103</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城乡社区住宅</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2210399</w:t>
            </w:r>
          </w:p>
        </w:tc>
        <w:tc>
          <w:tcPr>
            <w:tcW w:w="2671"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其他城乡社区住宅支出</w:t>
            </w:r>
          </w:p>
        </w:tc>
        <w:tc>
          <w:tcPr>
            <w:tcW w:w="156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1559"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993"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51"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743"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bl>
    <w:p>
      <w:pPr>
        <w:autoSpaceDE w:val="0"/>
        <w:autoSpaceDN w:val="0"/>
        <w:adjustRightInd w:val="0"/>
        <w:rPr>
          <w:rFonts w:ascii="宋体" w:hAnsi="宋体"/>
          <w:color w:val="FF0000"/>
          <w:szCs w:val="21"/>
        </w:rPr>
      </w:pPr>
    </w:p>
    <w:p>
      <w:pPr>
        <w:autoSpaceDE w:val="0"/>
        <w:autoSpaceDN w:val="0"/>
        <w:adjustRightInd w:val="0"/>
        <w:rPr>
          <w:rFonts w:ascii="宋体" w:hAnsi="宋体"/>
          <w:color w:val="FF0000"/>
          <w:szCs w:val="21"/>
        </w:rPr>
      </w:pPr>
      <w:r>
        <w:rPr>
          <w:rFonts w:hint="eastAsia" w:ascii="宋体" w:hAnsi="宋体"/>
          <w:color w:val="FF0000"/>
          <w:szCs w:val="21"/>
        </w:rPr>
        <w:t>注：本表反映单位本年度取得的各项收入情况。</w:t>
      </w:r>
    </w:p>
    <w:p>
      <w:pPr>
        <w:autoSpaceDE w:val="0"/>
        <w:autoSpaceDN w:val="0"/>
        <w:adjustRightInd w:val="0"/>
        <w:jc w:val="center"/>
        <w:rPr>
          <w:rFonts w:ascii="宋体" w:hAnsi="宋体"/>
          <w:szCs w:val="21"/>
        </w:rPr>
      </w:pPr>
      <w:r>
        <w:rPr>
          <w:rFonts w:ascii="宋体" w:hAnsi="宋体"/>
          <w:szCs w:val="21"/>
        </w:rPr>
        <w:br w:type="page"/>
      </w:r>
      <w:r>
        <w:rPr>
          <w:rFonts w:hint="eastAsia" w:ascii="宋体" w:hAnsi="宋体"/>
          <w:szCs w:val="21"/>
        </w:rPr>
        <w:t>支出决算表</w:t>
      </w:r>
    </w:p>
    <w:p>
      <w:pPr>
        <w:autoSpaceDE w:val="0"/>
        <w:autoSpaceDN w:val="0"/>
        <w:adjustRightInd w:val="0"/>
        <w:ind w:right="780"/>
        <w:jc w:val="center"/>
        <w:rPr>
          <w:rFonts w:ascii="宋体" w:hAnsi="宋体"/>
          <w:szCs w:val="21"/>
        </w:rPr>
      </w:pPr>
      <w:r>
        <w:rPr>
          <w:rFonts w:hint="eastAsia" w:ascii="宋体" w:hAnsi="宋体"/>
          <w:szCs w:val="21"/>
        </w:rPr>
        <w:t xml:space="preserve">                                                                                                    单位：万元</w:t>
      </w:r>
    </w:p>
    <w:tbl>
      <w:tblPr>
        <w:tblStyle w:val="8"/>
        <w:tblW w:w="12768" w:type="dxa"/>
        <w:tblInd w:w="98" w:type="dxa"/>
        <w:tblLayout w:type="autofit"/>
        <w:tblCellMar>
          <w:top w:w="0" w:type="dxa"/>
          <w:left w:w="108" w:type="dxa"/>
          <w:bottom w:w="0" w:type="dxa"/>
          <w:right w:w="108" w:type="dxa"/>
        </w:tblCellMar>
      </w:tblPr>
      <w:tblGrid>
        <w:gridCol w:w="436"/>
        <w:gridCol w:w="436"/>
        <w:gridCol w:w="436"/>
        <w:gridCol w:w="2671"/>
        <w:gridCol w:w="1418"/>
        <w:gridCol w:w="1417"/>
        <w:gridCol w:w="1418"/>
        <w:gridCol w:w="1417"/>
        <w:gridCol w:w="1276"/>
        <w:gridCol w:w="1843"/>
      </w:tblGrid>
      <w:tr>
        <w:tblPrEx>
          <w:tblCellMar>
            <w:top w:w="0" w:type="dxa"/>
            <w:left w:w="108" w:type="dxa"/>
            <w:bottom w:w="0" w:type="dxa"/>
            <w:right w:w="108" w:type="dxa"/>
          </w:tblCellMar>
        </w:tblPrEx>
        <w:trPr>
          <w:trHeight w:val="308" w:hRule="atLeast"/>
        </w:trPr>
        <w:tc>
          <w:tcPr>
            <w:tcW w:w="397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417"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4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417"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27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843"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ind w:left="-730" w:leftChars="-348"/>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支出功能分类科目编码</w:t>
            </w:r>
          </w:p>
        </w:tc>
        <w:tc>
          <w:tcPr>
            <w:tcW w:w="2671"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3"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3"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3"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26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1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41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43"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2,795.69</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120.34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12.28</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2080506</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机关事业单位职业年金缴费支出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住房保障支出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2,770.21</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94.86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22102</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住房改革支出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2210201</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22103</w:t>
            </w:r>
          </w:p>
        </w:tc>
        <w:tc>
          <w:tcPr>
            <w:tcW w:w="26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城乡社区住宅</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88.08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4"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2210399</w:t>
            </w:r>
          </w:p>
        </w:tc>
        <w:tc>
          <w:tcPr>
            <w:tcW w:w="2671"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其他城乡社区住宅支出</w:t>
            </w:r>
          </w:p>
        </w:tc>
        <w:tc>
          <w:tcPr>
            <w:tcW w:w="1418"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1417"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88.08</w:t>
            </w:r>
          </w:p>
        </w:tc>
        <w:tc>
          <w:tcPr>
            <w:tcW w:w="1418"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c>
          <w:tcPr>
            <w:tcW w:w="1417"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3" w:type="dxa"/>
            <w:tcBorders>
              <w:top w:val="nil"/>
              <w:left w:val="nil"/>
              <w:bottom w:val="single" w:color="000000" w:sz="8" w:space="0"/>
              <w:right w:val="single" w:color="000000" w:sz="8" w:space="0"/>
            </w:tcBorders>
            <w:shd w:val="clear" w:color="auto" w:fill="auto"/>
            <w:noWrap/>
            <w:vAlign w:val="center"/>
          </w:tcPr>
          <w:p>
            <w:pPr>
              <w:widowControl/>
              <w:ind w:right="315" w:rightChars="150"/>
              <w:jc w:val="right"/>
              <w:rPr>
                <w:rFonts w:ascii="宋体" w:hAnsi="宋体" w:cs="Arial"/>
                <w:color w:val="000000"/>
                <w:kern w:val="0"/>
                <w:sz w:val="22"/>
              </w:rPr>
            </w:pPr>
            <w:r>
              <w:rPr>
                <w:rFonts w:hint="eastAsia" w:ascii="宋体" w:hAnsi="宋体" w:cs="Arial"/>
                <w:color w:val="000000"/>
                <w:kern w:val="0"/>
                <w:sz w:val="22"/>
              </w:rPr>
              <w:t>0.00</w:t>
            </w:r>
          </w:p>
        </w:tc>
      </w:tr>
    </w:tbl>
    <w:p>
      <w:pPr>
        <w:autoSpaceDE w:val="0"/>
        <w:autoSpaceDN w:val="0"/>
        <w:adjustRightInd w:val="0"/>
        <w:rPr>
          <w:rFonts w:ascii="宋体" w:hAnsi="宋体"/>
          <w:color w:val="FF0000"/>
          <w:szCs w:val="21"/>
        </w:rPr>
      </w:pPr>
    </w:p>
    <w:p>
      <w:pPr>
        <w:autoSpaceDE w:val="0"/>
        <w:autoSpaceDN w:val="0"/>
        <w:adjustRightInd w:val="0"/>
        <w:rPr>
          <w:rFonts w:ascii="宋体" w:hAnsi="宋体"/>
          <w:color w:val="FF0000"/>
          <w:szCs w:val="21"/>
        </w:rPr>
      </w:pPr>
      <w:r>
        <w:rPr>
          <w:rFonts w:hint="eastAsia" w:ascii="宋体" w:hAnsi="宋体"/>
          <w:color w:val="FF0000"/>
          <w:szCs w:val="21"/>
        </w:rPr>
        <w:t>注：本表反映单位本年度各项支出情况。</w:t>
      </w:r>
    </w:p>
    <w:p>
      <w:pPr>
        <w:autoSpaceDE w:val="0"/>
        <w:autoSpaceDN w:val="0"/>
        <w:adjustRightInd w:val="0"/>
        <w:ind w:right="525"/>
        <w:rPr>
          <w:rFonts w:ascii="宋体" w:hAnsi="宋体"/>
          <w:b/>
          <w:szCs w:val="21"/>
        </w:rPr>
        <w:sectPr>
          <w:pgSz w:w="16838" w:h="11906" w:orient="landscape"/>
          <w:pgMar w:top="1797" w:right="1440" w:bottom="1797" w:left="1440" w:header="851" w:footer="992" w:gutter="0"/>
          <w:cols w:space="425" w:num="1"/>
          <w:docGrid w:type="linesAndChars" w:linePitch="312" w:charSpace="0"/>
        </w:sectPr>
      </w:pPr>
    </w:p>
    <w:p>
      <w:pPr>
        <w:autoSpaceDE w:val="0"/>
        <w:autoSpaceDN w:val="0"/>
        <w:adjustRightInd w:val="0"/>
        <w:jc w:val="center"/>
        <w:outlineLvl w:val="0"/>
        <w:rPr>
          <w:rFonts w:ascii="宋体" w:hAnsi="宋体"/>
          <w:szCs w:val="21"/>
        </w:rPr>
      </w:pPr>
      <w:r>
        <w:rPr>
          <w:rFonts w:hint="eastAsia" w:ascii="宋体" w:hAnsi="宋体"/>
          <w:szCs w:val="21"/>
        </w:rPr>
        <w:t>财政拨款收入支出决算总表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8"/>
        <w:tblW w:w="1387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009"/>
        <w:gridCol w:w="1954"/>
        <w:gridCol w:w="3228"/>
        <w:gridCol w:w="1171"/>
        <w:gridCol w:w="1171"/>
        <w:gridCol w:w="1171"/>
        <w:gridCol w:w="11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5775" w:type="dxa"/>
            <w:gridSpan w:val="2"/>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1134" w:type="dxa"/>
            <w:gridSpan w:val="5"/>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3883"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892"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126"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c>
          <w:tcPr>
            <w:tcW w:w="1134" w:type="dxa"/>
            <w:shd w:val="clear" w:color="auto" w:fill="auto"/>
            <w:vAlign w:val="center"/>
          </w:tcPr>
          <w:p>
            <w:pPr>
              <w:widowControl/>
              <w:jc w:val="center"/>
              <w:rPr>
                <w:rFonts w:ascii="宋体" w:hAnsi="宋体" w:cs="宋体"/>
                <w:color w:val="FF0000"/>
                <w:kern w:val="0"/>
                <w:szCs w:val="21"/>
              </w:rPr>
            </w:pPr>
            <w:r>
              <w:rPr>
                <w:rFonts w:hint="eastAsia" w:ascii="宋体" w:hAnsi="宋体"/>
                <w:color w:val="FF0000"/>
                <w:szCs w:val="21"/>
                <w:highlight w:val="yellow"/>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一、一般公共预算财政拨款</w:t>
            </w:r>
          </w:p>
        </w:tc>
        <w:tc>
          <w:tcPr>
            <w:tcW w:w="1892" w:type="dxa"/>
            <w:shd w:val="clear" w:color="auto" w:fill="auto"/>
            <w:noWrap/>
            <w:vAlign w:val="center"/>
          </w:tcPr>
          <w:p>
            <w:pPr>
              <w:widowControl/>
              <w:jc w:val="center"/>
              <w:rPr>
                <w:rFonts w:ascii="宋体" w:hAnsi="宋体" w:cs="宋体"/>
                <w:kern w:val="0"/>
                <w:szCs w:val="21"/>
              </w:rPr>
            </w:pPr>
            <w:r>
              <w:rPr>
                <w:rFonts w:hint="eastAsia" w:cs="Arial"/>
                <w:color w:val="000000"/>
                <w:sz w:val="22"/>
              </w:rPr>
              <w:t>2795.69</w:t>
            </w:r>
          </w:p>
        </w:tc>
        <w:tc>
          <w:tcPr>
            <w:tcW w:w="3126" w:type="dxa"/>
            <w:shd w:val="clear" w:color="auto" w:fill="auto"/>
            <w:noWrap/>
            <w:vAlign w:val="center"/>
          </w:tcPr>
          <w:p>
            <w:pPr>
              <w:rPr>
                <w:rFonts w:ascii="宋体" w:hAnsi="宋体" w:cs="宋体"/>
                <w:szCs w:val="21"/>
              </w:rPr>
            </w:pPr>
            <w:r>
              <w:rPr>
                <w:rFonts w:hint="eastAsia" w:ascii="宋体" w:hAnsi="宋体"/>
                <w:szCs w:val="21"/>
              </w:rPr>
              <w:t>一、一般公共服务支出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二、政府性基金预算财政拨款</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二、外交支出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color w:val="FF0000"/>
                <w:kern w:val="0"/>
                <w:szCs w:val="21"/>
              </w:rPr>
            </w:pPr>
            <w:r>
              <w:rPr>
                <w:rFonts w:hint="eastAsia" w:ascii="宋体" w:hAnsi="宋体"/>
                <w:color w:val="FF0000"/>
                <w:szCs w:val="21"/>
              </w:rPr>
              <w:t>三、国有资本经营预算财政拨款</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三、国防支出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四、公共安全支出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五、教育支出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六、科学技术支出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七、文化旅游体育与传媒支出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八、社会保障和就业支出</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18.24</w:t>
            </w: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18.24</w:t>
            </w: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九、卫生健康支出</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7.24</w:t>
            </w: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7.24</w:t>
            </w: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十、节能环保支出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十一、城乡社区支出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十二、农林水支出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十三、交通运输支出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十四、资源勘探工业信息等支出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十五、商业服务业等支出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ind w:left="12"/>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十六、金融支出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十七、援助其他地区支出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十八、自然资源海洋气象等支出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十九、住房保障支出</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2770.21</w:t>
            </w: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2770.21</w:t>
            </w: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二十、粮油物资储备支出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olor w:val="FF0000"/>
                <w:szCs w:val="21"/>
              </w:rPr>
            </w:pPr>
            <w:r>
              <w:rPr>
                <w:rFonts w:hint="eastAsia" w:ascii="宋体" w:hAnsi="宋体"/>
                <w:color w:val="FF0000"/>
                <w:szCs w:val="21"/>
              </w:rPr>
              <w:t>二十一、国有资本经营预算支出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p>
        </w:tc>
        <w:tc>
          <w:tcPr>
            <w:tcW w:w="1892" w:type="dxa"/>
            <w:shd w:val="clear" w:color="auto" w:fill="auto"/>
            <w:noWrap/>
            <w:vAlign w:val="center"/>
          </w:tcPr>
          <w:p>
            <w:pPr>
              <w:widowControl/>
              <w:jc w:val="right"/>
              <w:rPr>
                <w:rFonts w:ascii="宋体" w:hAnsi="宋体" w:cs="宋体"/>
                <w:kern w:val="0"/>
                <w:szCs w:val="21"/>
              </w:rPr>
            </w:pPr>
          </w:p>
        </w:tc>
        <w:tc>
          <w:tcPr>
            <w:tcW w:w="3126" w:type="dxa"/>
            <w:shd w:val="clear" w:color="auto" w:fill="auto"/>
            <w:noWrap/>
            <w:vAlign w:val="center"/>
          </w:tcPr>
          <w:p>
            <w:pPr>
              <w:rPr>
                <w:rFonts w:ascii="宋体" w:hAnsi="宋体"/>
                <w:szCs w:val="21"/>
              </w:rPr>
            </w:pPr>
            <w:r>
              <w:rPr>
                <w:rFonts w:hint="eastAsia" w:ascii="宋体" w:hAnsi="宋体"/>
                <w:szCs w:val="21"/>
              </w:rPr>
              <w:t>二十二、灾害防治及应急管理支出</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righ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bCs/>
                <w:kern w:val="0"/>
                <w:szCs w:val="21"/>
              </w:rPr>
            </w:pP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s="宋体"/>
                <w:szCs w:val="21"/>
              </w:rPr>
            </w:pPr>
            <w:r>
              <w:rPr>
                <w:rFonts w:hint="eastAsia" w:ascii="宋体" w:hAnsi="宋体"/>
                <w:szCs w:val="21"/>
              </w:rPr>
              <w:t>二十三、其他支出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left"/>
              <w:rPr>
                <w:rFonts w:ascii="宋体" w:hAnsi="宋体" w:cs="宋体"/>
                <w:bCs/>
                <w:kern w:val="0"/>
                <w:szCs w:val="21"/>
              </w:rPr>
            </w:pPr>
            <w:r>
              <w:rPr>
                <w:rFonts w:hint="eastAsia" w:ascii="宋体" w:hAnsi="宋体" w:cs="宋体"/>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p>
        </w:tc>
        <w:tc>
          <w:tcPr>
            <w:tcW w:w="1892" w:type="dxa"/>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shd w:val="clear" w:color="auto" w:fill="auto"/>
            <w:noWrap/>
            <w:vAlign w:val="center"/>
          </w:tcPr>
          <w:p>
            <w:pPr>
              <w:rPr>
                <w:rFonts w:ascii="宋体" w:hAnsi="宋体"/>
                <w:color w:val="FF0000"/>
                <w:szCs w:val="21"/>
              </w:rPr>
            </w:pPr>
            <w:r>
              <w:rPr>
                <w:rFonts w:hint="eastAsia" w:ascii="宋体" w:hAnsi="宋体"/>
                <w:color w:val="FF0000"/>
                <w:szCs w:val="21"/>
              </w:rPr>
              <w:t>二十四、抗疫特别国债安排的支出</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bCs/>
                <w:kern w:val="0"/>
                <w:szCs w:val="21"/>
              </w:rPr>
            </w:pPr>
            <w:r>
              <w:rPr>
                <w:rFonts w:hint="eastAsia" w:ascii="宋体" w:hAnsi="宋体" w:cs="宋体"/>
                <w:bCs/>
                <w:kern w:val="0"/>
                <w:szCs w:val="21"/>
              </w:rPr>
              <w:t>本年收入合计</w:t>
            </w:r>
          </w:p>
        </w:tc>
        <w:tc>
          <w:tcPr>
            <w:tcW w:w="1892" w:type="dxa"/>
            <w:shd w:val="clear" w:color="auto" w:fill="auto"/>
            <w:noWrap/>
            <w:vAlign w:val="center"/>
          </w:tcPr>
          <w:p>
            <w:pPr>
              <w:widowControl/>
              <w:jc w:val="center"/>
              <w:rPr>
                <w:rFonts w:ascii="宋体" w:hAnsi="宋体" w:cs="宋体"/>
                <w:kern w:val="0"/>
                <w:szCs w:val="21"/>
              </w:rPr>
            </w:pPr>
            <w:r>
              <w:rPr>
                <w:rFonts w:hint="eastAsia" w:cs="Arial"/>
                <w:color w:val="000000"/>
                <w:sz w:val="22"/>
              </w:rPr>
              <w:t>2795.69</w:t>
            </w:r>
          </w:p>
        </w:tc>
        <w:tc>
          <w:tcPr>
            <w:tcW w:w="3126" w:type="dxa"/>
            <w:shd w:val="clear" w:color="auto" w:fill="auto"/>
            <w:noWrap/>
            <w:vAlign w:val="center"/>
          </w:tcPr>
          <w:p>
            <w:pPr>
              <w:widowControl/>
              <w:jc w:val="left"/>
              <w:rPr>
                <w:rFonts w:ascii="宋体" w:hAnsi="宋体" w:cs="宋体"/>
                <w:bCs/>
                <w:kern w:val="0"/>
                <w:szCs w:val="21"/>
              </w:rPr>
            </w:pPr>
            <w:r>
              <w:rPr>
                <w:rFonts w:hint="eastAsia" w:ascii="宋体" w:hAnsi="宋体" w:cs="宋体"/>
                <w:bCs/>
                <w:kern w:val="0"/>
                <w:szCs w:val="21"/>
              </w:rPr>
              <w:t>本年支出合计</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r>
              <w:rPr>
                <w:rFonts w:hint="eastAsia" w:cs="Arial"/>
                <w:color w:val="000000"/>
                <w:sz w:val="22"/>
              </w:rPr>
              <w:t>2795.69</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2795.69</w:t>
            </w: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年初财政拨款结转和结余</w:t>
            </w:r>
          </w:p>
        </w:tc>
        <w:tc>
          <w:tcPr>
            <w:tcW w:w="1892"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0.00</w:t>
            </w:r>
          </w:p>
        </w:tc>
        <w:tc>
          <w:tcPr>
            <w:tcW w:w="3126"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年末财政拨款结转和结余</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0.00</w:t>
            </w:r>
          </w:p>
        </w:tc>
        <w:tc>
          <w:tcPr>
            <w:tcW w:w="1134"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0.00</w:t>
            </w: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一、一般公共预算财政拨款</w:t>
            </w:r>
          </w:p>
        </w:tc>
        <w:tc>
          <w:tcPr>
            <w:tcW w:w="1892" w:type="dxa"/>
            <w:shd w:val="clear" w:color="auto" w:fill="auto"/>
            <w:noWrap/>
            <w:vAlign w:val="center"/>
          </w:tcPr>
          <w:p>
            <w:pPr>
              <w:widowControl/>
              <w:jc w:val="right"/>
              <w:rPr>
                <w:rFonts w:ascii="宋体" w:hAnsi="宋体" w:cs="宋体"/>
                <w:kern w:val="0"/>
                <w:szCs w:val="21"/>
              </w:rPr>
            </w:pPr>
          </w:p>
        </w:tc>
        <w:tc>
          <w:tcPr>
            <w:tcW w:w="3126" w:type="dxa"/>
            <w:shd w:val="clear" w:color="auto" w:fill="auto"/>
            <w:noWrap/>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二、政府性基金预算财政拨款</w:t>
            </w:r>
          </w:p>
        </w:tc>
        <w:tc>
          <w:tcPr>
            <w:tcW w:w="1892" w:type="dxa"/>
            <w:shd w:val="clear" w:color="auto" w:fill="auto"/>
            <w:noWrap/>
            <w:vAlign w:val="center"/>
          </w:tcPr>
          <w:p>
            <w:pPr>
              <w:widowControl/>
              <w:jc w:val="right"/>
              <w:rPr>
                <w:rFonts w:ascii="宋体" w:hAnsi="宋体" w:cs="宋体"/>
                <w:kern w:val="0"/>
                <w:szCs w:val="21"/>
              </w:rPr>
            </w:pPr>
          </w:p>
        </w:tc>
        <w:tc>
          <w:tcPr>
            <w:tcW w:w="3126" w:type="dxa"/>
            <w:shd w:val="clear" w:color="auto" w:fill="auto"/>
            <w:noWrap/>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left"/>
              <w:rPr>
                <w:rFonts w:ascii="宋体" w:hAnsi="宋体" w:cs="宋体"/>
                <w:color w:val="FF0000"/>
                <w:kern w:val="0"/>
                <w:szCs w:val="21"/>
              </w:rPr>
            </w:pPr>
            <w:r>
              <w:rPr>
                <w:rFonts w:hint="eastAsia" w:ascii="宋体" w:hAnsi="宋体"/>
                <w:color w:val="FF0000"/>
                <w:szCs w:val="21"/>
              </w:rPr>
              <w:t>三、国有资本经营预算财政拨款</w:t>
            </w:r>
          </w:p>
        </w:tc>
        <w:tc>
          <w:tcPr>
            <w:tcW w:w="1892" w:type="dxa"/>
            <w:shd w:val="clear" w:color="auto" w:fill="auto"/>
            <w:noWrap/>
            <w:vAlign w:val="center"/>
          </w:tcPr>
          <w:p>
            <w:pPr>
              <w:widowControl/>
              <w:jc w:val="right"/>
              <w:rPr>
                <w:rFonts w:ascii="宋体" w:hAnsi="宋体" w:cs="宋体"/>
                <w:kern w:val="0"/>
                <w:szCs w:val="21"/>
              </w:rPr>
            </w:pPr>
          </w:p>
        </w:tc>
        <w:tc>
          <w:tcPr>
            <w:tcW w:w="3126" w:type="dxa"/>
            <w:shd w:val="clear" w:color="auto" w:fill="auto"/>
            <w:noWrap/>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noWrap/>
            <w:vAlign w:val="center"/>
          </w:tcPr>
          <w:p>
            <w:pPr>
              <w:widowControl/>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83" w:type="dxa"/>
            <w:shd w:val="clear" w:color="auto" w:fill="auto"/>
            <w:noWrap/>
            <w:vAlign w:val="center"/>
          </w:tcPr>
          <w:p>
            <w:pPr>
              <w:widowControl/>
              <w:jc w:val="center"/>
              <w:rPr>
                <w:rFonts w:ascii="宋体" w:hAnsi="宋体" w:cs="宋体"/>
                <w:bCs/>
                <w:kern w:val="0"/>
                <w:szCs w:val="21"/>
              </w:rPr>
            </w:pPr>
            <w:r>
              <w:rPr>
                <w:rFonts w:hint="eastAsia" w:ascii="宋体" w:hAnsi="宋体" w:cs="宋体"/>
                <w:bCs/>
                <w:kern w:val="0"/>
                <w:szCs w:val="21"/>
              </w:rPr>
              <w:t>总计</w:t>
            </w:r>
          </w:p>
        </w:tc>
        <w:tc>
          <w:tcPr>
            <w:tcW w:w="1892" w:type="dxa"/>
            <w:shd w:val="clear" w:color="auto" w:fill="auto"/>
            <w:noWrap/>
            <w:vAlign w:val="center"/>
          </w:tcPr>
          <w:p>
            <w:pPr>
              <w:widowControl/>
              <w:jc w:val="center"/>
              <w:rPr>
                <w:rFonts w:ascii="宋体" w:hAnsi="宋体" w:cs="宋体"/>
                <w:kern w:val="0"/>
                <w:szCs w:val="21"/>
              </w:rPr>
            </w:pPr>
            <w:r>
              <w:rPr>
                <w:rFonts w:hint="eastAsia" w:cs="Arial"/>
                <w:color w:val="000000"/>
                <w:sz w:val="22"/>
              </w:rPr>
              <w:t>2795.69</w:t>
            </w:r>
          </w:p>
        </w:tc>
        <w:tc>
          <w:tcPr>
            <w:tcW w:w="3126" w:type="dxa"/>
            <w:shd w:val="clear" w:color="auto" w:fill="auto"/>
            <w:noWrap/>
            <w:vAlign w:val="center"/>
          </w:tcPr>
          <w:p>
            <w:pPr>
              <w:widowControl/>
              <w:jc w:val="center"/>
              <w:rPr>
                <w:rFonts w:ascii="宋体" w:hAnsi="宋体" w:cs="宋体"/>
                <w:bCs/>
                <w:kern w:val="0"/>
                <w:szCs w:val="21"/>
              </w:rPr>
            </w:pPr>
            <w:r>
              <w:rPr>
                <w:rFonts w:hint="eastAsia" w:ascii="宋体" w:hAnsi="宋体" w:cs="宋体"/>
                <w:bCs/>
                <w:kern w:val="0"/>
                <w:szCs w:val="21"/>
              </w:rPr>
              <w:t>总计</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2795.69</w:t>
            </w:r>
            <w:r>
              <w:rPr>
                <w:rFonts w:hint="eastAsia" w:ascii="宋体" w:hAnsi="宋体" w:cs="宋体"/>
                <w:kern w:val="0"/>
                <w:szCs w:val="21"/>
              </w:rPr>
              <w:t>　</w:t>
            </w:r>
          </w:p>
        </w:tc>
        <w:tc>
          <w:tcPr>
            <w:tcW w:w="1134" w:type="dxa"/>
            <w:shd w:val="clear" w:color="auto" w:fill="auto"/>
            <w:noWrap/>
            <w:vAlign w:val="center"/>
          </w:tcPr>
          <w:p>
            <w:pPr>
              <w:widowControl/>
              <w:jc w:val="center"/>
              <w:rPr>
                <w:rFonts w:ascii="宋体" w:hAnsi="宋体" w:cs="宋体"/>
                <w:kern w:val="0"/>
                <w:szCs w:val="21"/>
              </w:rPr>
            </w:pPr>
            <w:r>
              <w:rPr>
                <w:rFonts w:hint="eastAsia" w:cs="Arial"/>
                <w:color w:val="000000"/>
                <w:sz w:val="22"/>
              </w:rPr>
              <w:t>2795.69</w:t>
            </w:r>
          </w:p>
        </w:tc>
        <w:tc>
          <w:tcPr>
            <w:tcW w:w="1134" w:type="dxa"/>
            <w:shd w:val="clear" w:color="auto" w:fill="auto"/>
            <w:vAlign w:val="center"/>
          </w:tcPr>
          <w:p>
            <w:pPr>
              <w:jc w:val="center"/>
              <w:rPr>
                <w:rFonts w:ascii="宋体" w:hAnsi="宋体" w:cs="宋体"/>
                <w:kern w:val="0"/>
                <w:szCs w:val="21"/>
              </w:rPr>
            </w:pPr>
            <w:r>
              <w:rPr>
                <w:rFonts w:hint="eastAsia" w:ascii="宋体" w:hAnsi="宋体" w:cs="宋体"/>
                <w:kern w:val="0"/>
                <w:szCs w:val="21"/>
              </w:rPr>
              <w:t>　</w:t>
            </w:r>
          </w:p>
        </w:tc>
        <w:tc>
          <w:tcPr>
            <w:tcW w:w="1134" w:type="dxa"/>
            <w:shd w:val="clear" w:color="auto" w:fill="auto"/>
            <w:noWrap/>
            <w:vAlign w:val="center"/>
          </w:tcPr>
          <w:p>
            <w:pPr>
              <w:widowControl/>
              <w:jc w:val="left"/>
              <w:rPr>
                <w:rFonts w:ascii="宋体" w:hAnsi="宋体" w:cs="宋体"/>
                <w:bCs/>
                <w:kern w:val="0"/>
                <w:szCs w:val="21"/>
              </w:rPr>
            </w:pPr>
            <w:r>
              <w:rPr>
                <w:rFonts w:hint="eastAsia" w:ascii="宋体" w:hAnsi="宋体" w:cs="宋体"/>
                <w:bCs/>
                <w:kern w:val="0"/>
                <w:szCs w:val="21"/>
              </w:rPr>
              <w:t>　</w:t>
            </w:r>
          </w:p>
        </w:tc>
      </w:tr>
    </w:tbl>
    <w:p>
      <w:pPr>
        <w:autoSpaceDE w:val="0"/>
        <w:autoSpaceDN w:val="0"/>
        <w:adjustRightInd w:val="0"/>
        <w:rPr>
          <w:rFonts w:ascii="宋体" w:hAnsi="宋体"/>
          <w:color w:val="FF0000"/>
          <w:szCs w:val="21"/>
        </w:rPr>
        <w:sectPr>
          <w:pgSz w:w="16838" w:h="11906" w:orient="landscape"/>
          <w:pgMar w:top="1797" w:right="1440" w:bottom="1797" w:left="1440" w:header="851" w:footer="992" w:gutter="0"/>
          <w:cols w:space="425" w:num="1"/>
          <w:docGrid w:linePitch="312" w:charSpace="0"/>
        </w:sectPr>
      </w:pPr>
      <w:r>
        <w:rPr>
          <w:rFonts w:hint="eastAsia" w:ascii="宋体" w:hAnsi="宋体"/>
          <w:color w:val="FF0000"/>
          <w:szCs w:val="21"/>
        </w:rPr>
        <w:t>注：本表反映单位本年度财政拨款总收支和结转结余情况。</w:t>
      </w:r>
    </w:p>
    <w:p>
      <w:pPr>
        <w:autoSpaceDE w:val="0"/>
        <w:autoSpaceDN w:val="0"/>
        <w:adjustRightInd w:val="0"/>
        <w:jc w:val="center"/>
        <w:outlineLvl w:val="0"/>
        <w:rPr>
          <w:rFonts w:ascii="宋体" w:hAnsi="宋体"/>
          <w:szCs w:val="21"/>
        </w:rPr>
      </w:pPr>
      <w:r>
        <w:rPr>
          <w:rFonts w:hint="eastAsia" w:ascii="宋体" w:hAnsi="宋体"/>
          <w:szCs w:val="21"/>
        </w:rPr>
        <w:t>一般公共预算财政拨款支出决算表</w:t>
      </w:r>
    </w:p>
    <w:p>
      <w:pPr>
        <w:autoSpaceDE w:val="0"/>
        <w:autoSpaceDN w:val="0"/>
        <w:adjustRightInd w:val="0"/>
        <w:ind w:right="360"/>
        <w:jc w:val="right"/>
        <w:rPr>
          <w:rFonts w:ascii="宋体" w:hAnsi="宋体"/>
          <w:szCs w:val="21"/>
        </w:rPr>
      </w:pPr>
      <w:r>
        <w:rPr>
          <w:rFonts w:hint="eastAsia" w:ascii="宋体" w:hAnsi="宋体"/>
          <w:szCs w:val="21"/>
        </w:rPr>
        <w:t>单位：万元</w:t>
      </w:r>
    </w:p>
    <w:p>
      <w:pPr>
        <w:tabs>
          <w:tab w:val="left" w:pos="5529"/>
          <w:tab w:val="left" w:pos="5954"/>
        </w:tabs>
        <w:autoSpaceDE w:val="0"/>
        <w:autoSpaceDN w:val="0"/>
        <w:adjustRightInd w:val="0"/>
        <w:rPr>
          <w:rFonts w:ascii="宋体" w:hAnsi="宋体"/>
          <w:color w:val="FF0000"/>
          <w:szCs w:val="21"/>
        </w:rPr>
      </w:pPr>
    </w:p>
    <w:tbl>
      <w:tblPr>
        <w:tblStyle w:val="8"/>
        <w:tblW w:w="7953" w:type="dxa"/>
        <w:tblInd w:w="93" w:type="dxa"/>
        <w:tblLayout w:type="fixed"/>
        <w:tblCellMar>
          <w:top w:w="0" w:type="dxa"/>
          <w:left w:w="108" w:type="dxa"/>
          <w:bottom w:w="0" w:type="dxa"/>
          <w:right w:w="108" w:type="dxa"/>
        </w:tblCellMar>
      </w:tblPr>
      <w:tblGrid>
        <w:gridCol w:w="279"/>
        <w:gridCol w:w="279"/>
        <w:gridCol w:w="279"/>
        <w:gridCol w:w="3147"/>
        <w:gridCol w:w="1418"/>
        <w:gridCol w:w="1276"/>
        <w:gridCol w:w="1275"/>
      </w:tblGrid>
      <w:tr>
        <w:tblPrEx>
          <w:tblCellMar>
            <w:top w:w="0" w:type="dxa"/>
            <w:left w:w="108" w:type="dxa"/>
            <w:bottom w:w="0" w:type="dxa"/>
            <w:right w:w="108" w:type="dxa"/>
          </w:tblCellMar>
        </w:tblPrEx>
        <w:trPr>
          <w:trHeight w:val="308" w:hRule="atLeast"/>
        </w:trPr>
        <w:tc>
          <w:tcPr>
            <w:tcW w:w="398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27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27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08" w:hRule="atLeast"/>
        </w:trPr>
        <w:tc>
          <w:tcPr>
            <w:tcW w:w="8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支出功能分类科目编码</w:t>
            </w:r>
          </w:p>
        </w:tc>
        <w:tc>
          <w:tcPr>
            <w:tcW w:w="3147"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83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83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79" w:type="dxa"/>
            <w:vMerge w:val="restar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279"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279"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14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7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2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4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2,795.69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120.34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12.28</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2080506</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机关事业单位职业年金缴费支出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住房保障支出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2,770.21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94.86</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22102</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住房改革支出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2210201</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22103</w:t>
            </w:r>
          </w:p>
        </w:tc>
        <w:tc>
          <w:tcPr>
            <w:tcW w:w="31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城乡社区住宅</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88.08</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r>
      <w:tr>
        <w:tblPrEx>
          <w:tblCellMar>
            <w:top w:w="0" w:type="dxa"/>
            <w:left w:w="108" w:type="dxa"/>
            <w:bottom w:w="0" w:type="dxa"/>
            <w:right w:w="108" w:type="dxa"/>
          </w:tblCellMar>
        </w:tblPrEx>
        <w:trPr>
          <w:trHeight w:val="308" w:hRule="atLeast"/>
        </w:trPr>
        <w:tc>
          <w:tcPr>
            <w:tcW w:w="837"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2210399</w:t>
            </w:r>
          </w:p>
        </w:tc>
        <w:tc>
          <w:tcPr>
            <w:tcW w:w="3147"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其他城乡社区住宅支出</w:t>
            </w:r>
          </w:p>
        </w:tc>
        <w:tc>
          <w:tcPr>
            <w:tcW w:w="1418"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2,763.43</w:t>
            </w:r>
          </w:p>
        </w:tc>
        <w:tc>
          <w:tcPr>
            <w:tcW w:w="1276"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88.08</w:t>
            </w:r>
          </w:p>
        </w:tc>
        <w:tc>
          <w:tcPr>
            <w:tcW w:w="1275"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2,675.35</w:t>
            </w:r>
          </w:p>
        </w:tc>
      </w:tr>
    </w:tbl>
    <w:p>
      <w:pPr>
        <w:autoSpaceDE w:val="0"/>
        <w:autoSpaceDN w:val="0"/>
        <w:adjustRightInd w:val="0"/>
        <w:rPr>
          <w:rFonts w:ascii="宋体" w:hAnsi="宋体"/>
          <w:color w:val="FF0000"/>
          <w:szCs w:val="21"/>
        </w:rPr>
      </w:pPr>
    </w:p>
    <w:p>
      <w:pPr>
        <w:autoSpaceDE w:val="0"/>
        <w:autoSpaceDN w:val="0"/>
        <w:adjustRightInd w:val="0"/>
        <w:rPr>
          <w:rFonts w:ascii="宋体" w:hAnsi="宋体"/>
          <w:color w:val="FF0000"/>
          <w:szCs w:val="21"/>
        </w:rPr>
      </w:pPr>
      <w:r>
        <w:rPr>
          <w:rFonts w:hint="eastAsia" w:ascii="宋体" w:hAnsi="宋体"/>
          <w:color w:val="FF0000"/>
          <w:szCs w:val="21"/>
        </w:rPr>
        <w:t>注：本表反映单位本年度一般公共预算财政拨款支出情况。</w:t>
      </w:r>
    </w:p>
    <w:p>
      <w:pPr>
        <w:autoSpaceDE w:val="0"/>
        <w:autoSpaceDN w:val="0"/>
        <w:adjustRightInd w:val="0"/>
        <w:jc w:val="center"/>
        <w:rPr>
          <w:rFonts w:ascii="宋体" w:hAnsi="宋体"/>
          <w:szCs w:val="21"/>
        </w:rPr>
      </w:pPr>
      <w:r>
        <w:rPr>
          <w:rFonts w:ascii="宋体" w:hAnsi="宋体"/>
          <w:szCs w:val="21"/>
        </w:rPr>
        <w:br w:type="page"/>
      </w:r>
      <w:r>
        <w:rPr>
          <w:rFonts w:hint="eastAsia" w:ascii="宋体" w:hAnsi="宋体"/>
          <w:szCs w:val="21"/>
        </w:rPr>
        <w:t>一般公共预算财政拨款基本支出决算表</w:t>
      </w:r>
    </w:p>
    <w:p>
      <w:pPr>
        <w:wordWrap w:val="0"/>
        <w:autoSpaceDE w:val="0"/>
        <w:autoSpaceDN w:val="0"/>
        <w:adjustRightInd w:val="0"/>
        <w:jc w:val="right"/>
        <w:rPr>
          <w:rFonts w:ascii="宋体" w:hAnsi="宋体"/>
          <w:szCs w:val="21"/>
        </w:rPr>
      </w:pPr>
      <w:r>
        <w:rPr>
          <w:rFonts w:hint="eastAsia" w:ascii="宋体" w:hAnsi="宋体"/>
          <w:szCs w:val="21"/>
        </w:rPr>
        <w:t xml:space="preserve">    单位：万元</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880"/>
        <w:gridCol w:w="1080"/>
        <w:gridCol w:w="1076"/>
        <w:gridCol w:w="234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经济分类科目编码</w:t>
            </w:r>
          </w:p>
        </w:tc>
        <w:tc>
          <w:tcPr>
            <w:tcW w:w="2880" w:type="dxa"/>
            <w:shd w:val="clear" w:color="auto" w:fill="auto"/>
            <w:vAlign w:val="center"/>
          </w:tcPr>
          <w:p>
            <w:pPr>
              <w:autoSpaceDE w:val="0"/>
              <w:autoSpaceDN w:val="0"/>
              <w:adjustRightInd w:val="0"/>
              <w:ind w:right="-74"/>
              <w:jc w:val="center"/>
              <w:rPr>
                <w:rFonts w:ascii="宋体" w:hAnsi="宋体"/>
                <w:szCs w:val="21"/>
              </w:rPr>
            </w:pPr>
            <w:r>
              <w:rPr>
                <w:rFonts w:hint="eastAsia" w:ascii="宋体" w:hAnsi="宋体"/>
                <w:szCs w:val="21"/>
              </w:rPr>
              <w:t>科目名称</w:t>
            </w:r>
          </w:p>
        </w:tc>
        <w:tc>
          <w:tcPr>
            <w:tcW w:w="1080" w:type="dxa"/>
            <w:shd w:val="clear" w:color="auto" w:fill="auto"/>
            <w:vAlign w:val="center"/>
          </w:tcPr>
          <w:p>
            <w:pPr>
              <w:autoSpaceDE w:val="0"/>
              <w:autoSpaceDN w:val="0"/>
              <w:adjustRightInd w:val="0"/>
              <w:ind w:right="-93"/>
              <w:jc w:val="center"/>
              <w:rPr>
                <w:rFonts w:ascii="宋体" w:hAnsi="宋体"/>
                <w:szCs w:val="21"/>
              </w:rPr>
            </w:pPr>
            <w:r>
              <w:rPr>
                <w:rFonts w:hint="eastAsia" w:ascii="宋体" w:hAnsi="宋体"/>
                <w:szCs w:val="21"/>
              </w:rPr>
              <w:t>决算数</w:t>
            </w:r>
          </w:p>
        </w:tc>
        <w:tc>
          <w:tcPr>
            <w:tcW w:w="107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经济分类</w:t>
            </w:r>
          </w:p>
          <w:p>
            <w:pPr>
              <w:widowControl/>
              <w:jc w:val="center"/>
              <w:rPr>
                <w:rFonts w:ascii="宋体" w:hAnsi="宋体" w:cs="宋体"/>
                <w:kern w:val="0"/>
                <w:szCs w:val="21"/>
              </w:rPr>
            </w:pPr>
            <w:r>
              <w:rPr>
                <w:rFonts w:hint="eastAsia" w:ascii="宋体" w:hAnsi="宋体" w:cs="宋体"/>
                <w:kern w:val="0"/>
                <w:szCs w:val="21"/>
              </w:rPr>
              <w:t>科目编码</w:t>
            </w:r>
          </w:p>
        </w:tc>
        <w:tc>
          <w:tcPr>
            <w:tcW w:w="2344" w:type="dxa"/>
            <w:shd w:val="clear" w:color="auto" w:fill="auto"/>
            <w:vAlign w:val="center"/>
          </w:tcPr>
          <w:p>
            <w:pPr>
              <w:autoSpaceDE w:val="0"/>
              <w:autoSpaceDN w:val="0"/>
              <w:adjustRightInd w:val="0"/>
              <w:ind w:right="-74"/>
              <w:jc w:val="center"/>
              <w:rPr>
                <w:rFonts w:ascii="宋体" w:hAnsi="宋体"/>
                <w:szCs w:val="21"/>
              </w:rPr>
            </w:pPr>
            <w:r>
              <w:rPr>
                <w:rFonts w:hint="eastAsia" w:ascii="宋体" w:hAnsi="宋体"/>
                <w:szCs w:val="21"/>
              </w:rPr>
              <w:t>科目名称</w:t>
            </w:r>
          </w:p>
        </w:tc>
        <w:tc>
          <w:tcPr>
            <w:tcW w:w="1080" w:type="dxa"/>
            <w:shd w:val="clear" w:color="auto" w:fill="auto"/>
            <w:vAlign w:val="center"/>
          </w:tcPr>
          <w:p>
            <w:pPr>
              <w:autoSpaceDE w:val="0"/>
              <w:autoSpaceDN w:val="0"/>
              <w:adjustRightInd w:val="0"/>
              <w:ind w:right="-93"/>
              <w:jc w:val="center"/>
              <w:rPr>
                <w:rFonts w:ascii="宋体" w:hAnsi="宋体"/>
                <w:szCs w:val="21"/>
              </w:rPr>
            </w:pPr>
            <w:r>
              <w:rPr>
                <w:rFonts w:hint="eastAsia" w:ascii="宋体" w:hAnsi="宋体"/>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w:t>
            </w:r>
          </w:p>
        </w:tc>
        <w:tc>
          <w:tcPr>
            <w:tcW w:w="2880" w:type="dxa"/>
            <w:shd w:val="clear" w:color="auto" w:fill="auto"/>
            <w:vAlign w:val="center"/>
          </w:tcPr>
          <w:p>
            <w:pPr>
              <w:rPr>
                <w:rFonts w:ascii="宋体" w:hAnsi="宋体" w:cs="宋体"/>
                <w:szCs w:val="21"/>
              </w:rPr>
            </w:pPr>
            <w:r>
              <w:rPr>
                <w:rFonts w:hint="eastAsia" w:ascii="宋体" w:hAnsi="宋体"/>
                <w:szCs w:val="21"/>
              </w:rPr>
              <w:t>工资福利支出</w:t>
            </w:r>
          </w:p>
        </w:tc>
        <w:tc>
          <w:tcPr>
            <w:tcW w:w="1080" w:type="dxa"/>
            <w:shd w:val="clear" w:color="auto" w:fill="auto"/>
            <w:vAlign w:val="center"/>
          </w:tcPr>
          <w:p>
            <w:pPr>
              <w:jc w:val="right"/>
              <w:rPr>
                <w:rFonts w:ascii="宋体" w:hAnsi="宋体" w:cs="宋体"/>
                <w:szCs w:val="21"/>
              </w:rPr>
            </w:pPr>
            <w:r>
              <w:rPr>
                <w:rFonts w:hint="eastAsia" w:ascii="宋体" w:hAnsi="宋体" w:cs="宋体"/>
                <w:szCs w:val="21"/>
              </w:rPr>
              <w:t>115.72</w:t>
            </w:r>
          </w:p>
        </w:tc>
        <w:tc>
          <w:tcPr>
            <w:tcW w:w="1076" w:type="dxa"/>
            <w:shd w:val="clear" w:color="auto" w:fill="auto"/>
            <w:vAlign w:val="center"/>
          </w:tcPr>
          <w:p>
            <w:pPr>
              <w:rPr>
                <w:rFonts w:ascii="宋体" w:hAnsi="宋体" w:cs="Arial"/>
                <w:szCs w:val="21"/>
              </w:rPr>
            </w:pPr>
            <w:r>
              <w:rPr>
                <w:rFonts w:hint="eastAsia" w:ascii="宋体" w:hAnsi="宋体" w:cs="Arial"/>
                <w:szCs w:val="21"/>
              </w:rPr>
              <w:t>302</w:t>
            </w:r>
          </w:p>
        </w:tc>
        <w:tc>
          <w:tcPr>
            <w:tcW w:w="2344" w:type="dxa"/>
            <w:shd w:val="clear" w:color="auto" w:fill="auto"/>
            <w:vAlign w:val="center"/>
          </w:tcPr>
          <w:p>
            <w:pPr>
              <w:rPr>
                <w:rFonts w:ascii="宋体" w:hAnsi="宋体" w:cs="宋体"/>
                <w:szCs w:val="21"/>
              </w:rPr>
            </w:pPr>
            <w:r>
              <w:rPr>
                <w:rFonts w:hint="eastAsia" w:ascii="宋体" w:hAnsi="宋体"/>
                <w:szCs w:val="21"/>
              </w:rPr>
              <w:t>商品和服务支出</w:t>
            </w:r>
          </w:p>
        </w:tc>
        <w:tc>
          <w:tcPr>
            <w:tcW w:w="1080" w:type="dxa"/>
            <w:shd w:val="clear" w:color="auto" w:fill="auto"/>
            <w:vAlign w:val="center"/>
          </w:tcPr>
          <w:p>
            <w:pPr>
              <w:jc w:val="right"/>
              <w:rPr>
                <w:rFonts w:ascii="宋体" w:hAnsi="宋体" w:cs="宋体"/>
                <w:szCs w:val="21"/>
              </w:rPr>
            </w:pPr>
            <w:r>
              <w:rPr>
                <w:rFonts w:hint="eastAsia" w:ascii="宋体" w:hAnsi="宋体" w:cs="宋体"/>
                <w:szCs w:val="21"/>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30101</w:t>
            </w:r>
          </w:p>
        </w:tc>
        <w:tc>
          <w:tcPr>
            <w:tcW w:w="2880" w:type="dxa"/>
            <w:shd w:val="clear" w:color="auto" w:fill="auto"/>
            <w:vAlign w:val="center"/>
          </w:tcPr>
          <w:p>
            <w:pPr>
              <w:rPr>
                <w:rFonts w:ascii="宋体" w:hAnsi="宋体" w:cs="宋体"/>
                <w:szCs w:val="21"/>
              </w:rPr>
            </w:pPr>
            <w:r>
              <w:rPr>
                <w:rFonts w:hint="eastAsia" w:ascii="宋体" w:hAnsi="宋体"/>
                <w:szCs w:val="21"/>
              </w:rPr>
              <w:t xml:space="preserve">  基本工资</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24.12</w:t>
            </w:r>
          </w:p>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30201</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办公费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0.98</w:t>
            </w:r>
          </w:p>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30102</w:t>
            </w:r>
          </w:p>
        </w:tc>
        <w:tc>
          <w:tcPr>
            <w:tcW w:w="2880" w:type="dxa"/>
            <w:shd w:val="clear" w:color="auto" w:fill="auto"/>
            <w:vAlign w:val="center"/>
          </w:tcPr>
          <w:p>
            <w:pPr>
              <w:rPr>
                <w:rFonts w:ascii="宋体" w:hAnsi="宋体" w:cs="宋体"/>
                <w:szCs w:val="21"/>
              </w:rPr>
            </w:pPr>
            <w:r>
              <w:rPr>
                <w:rFonts w:hint="eastAsia" w:ascii="宋体" w:hAnsi="宋体"/>
                <w:szCs w:val="21"/>
              </w:rPr>
              <w:t xml:space="preserve">  津贴补贴</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8.37</w:t>
            </w:r>
          </w:p>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30202</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印刷费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30103</w:t>
            </w:r>
          </w:p>
        </w:tc>
        <w:tc>
          <w:tcPr>
            <w:tcW w:w="2880" w:type="dxa"/>
            <w:shd w:val="clear" w:color="auto" w:fill="auto"/>
            <w:vAlign w:val="center"/>
          </w:tcPr>
          <w:p>
            <w:pPr>
              <w:rPr>
                <w:rFonts w:ascii="宋体" w:hAnsi="宋体" w:cs="宋体"/>
                <w:szCs w:val="21"/>
              </w:rPr>
            </w:pPr>
            <w:r>
              <w:rPr>
                <w:rFonts w:hint="eastAsia" w:ascii="宋体" w:hAnsi="宋体"/>
                <w:szCs w:val="21"/>
              </w:rPr>
              <w:t xml:space="preserve">  奖金</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30203</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咨询费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30106</w:t>
            </w:r>
          </w:p>
        </w:tc>
        <w:tc>
          <w:tcPr>
            <w:tcW w:w="2880" w:type="dxa"/>
            <w:shd w:val="clear" w:color="auto" w:fill="auto"/>
            <w:vAlign w:val="center"/>
          </w:tcPr>
          <w:p>
            <w:pPr>
              <w:rPr>
                <w:rFonts w:ascii="宋体" w:hAnsi="宋体" w:cs="宋体"/>
                <w:szCs w:val="21"/>
              </w:rPr>
            </w:pPr>
            <w:r>
              <w:rPr>
                <w:rFonts w:hint="eastAsia" w:ascii="宋体" w:hAnsi="宋体"/>
                <w:szCs w:val="21"/>
              </w:rPr>
              <w:t xml:space="preserve">  伙食补助费</w:t>
            </w:r>
          </w:p>
        </w:tc>
        <w:tc>
          <w:tcPr>
            <w:tcW w:w="1080" w:type="dxa"/>
            <w:shd w:val="clear" w:color="auto" w:fill="auto"/>
            <w:vAlign w:val="center"/>
          </w:tcPr>
          <w:p>
            <w:pPr>
              <w:jc w:val="right"/>
              <w:rPr>
                <w:rFonts w:ascii="宋体" w:hAnsi="宋体" w:cs="宋体"/>
                <w:szCs w:val="21"/>
              </w:rPr>
            </w:pPr>
            <w:r>
              <w:rPr>
                <w:rFonts w:hint="eastAsia" w:ascii="宋体" w:hAnsi="宋体" w:cs="宋体"/>
                <w:szCs w:val="21"/>
              </w:rPr>
              <w:t>3.84</w:t>
            </w:r>
          </w:p>
        </w:tc>
        <w:tc>
          <w:tcPr>
            <w:tcW w:w="1076" w:type="dxa"/>
            <w:shd w:val="clear" w:color="auto" w:fill="auto"/>
            <w:vAlign w:val="center"/>
          </w:tcPr>
          <w:p>
            <w:pPr>
              <w:rPr>
                <w:rFonts w:ascii="宋体" w:hAnsi="宋体" w:cs="Arial"/>
                <w:szCs w:val="21"/>
              </w:rPr>
            </w:pPr>
            <w:r>
              <w:rPr>
                <w:rFonts w:hint="eastAsia" w:ascii="宋体" w:hAnsi="宋体" w:cs="Arial"/>
                <w:szCs w:val="21"/>
              </w:rPr>
              <w:t>30204</w:t>
            </w:r>
          </w:p>
        </w:tc>
        <w:tc>
          <w:tcPr>
            <w:tcW w:w="2344" w:type="dxa"/>
            <w:shd w:val="clear" w:color="auto" w:fill="auto"/>
            <w:vAlign w:val="center"/>
          </w:tcPr>
          <w:p>
            <w:pPr>
              <w:rPr>
                <w:rFonts w:ascii="宋体" w:hAnsi="宋体" w:cs="宋体"/>
                <w:szCs w:val="21"/>
              </w:rPr>
            </w:pPr>
            <w:r>
              <w:rPr>
                <w:rFonts w:hint="eastAsia" w:ascii="宋体" w:hAnsi="宋体"/>
                <w:szCs w:val="21"/>
              </w:rPr>
              <w:t xml:space="preserve">  手续费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0.01</w:t>
            </w:r>
          </w:p>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30107</w:t>
            </w:r>
          </w:p>
        </w:tc>
        <w:tc>
          <w:tcPr>
            <w:tcW w:w="2880" w:type="dxa"/>
            <w:shd w:val="clear" w:color="auto" w:fill="auto"/>
            <w:vAlign w:val="center"/>
          </w:tcPr>
          <w:p>
            <w:pPr>
              <w:rPr>
                <w:rFonts w:ascii="宋体" w:hAnsi="宋体" w:cs="宋体"/>
                <w:szCs w:val="21"/>
              </w:rPr>
            </w:pPr>
            <w:r>
              <w:rPr>
                <w:rFonts w:hint="eastAsia" w:ascii="宋体" w:hAnsi="宋体"/>
                <w:szCs w:val="21"/>
              </w:rPr>
              <w:t xml:space="preserve">  绩效工资</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45.94</w:t>
            </w:r>
          </w:p>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30205</w:t>
            </w:r>
          </w:p>
        </w:tc>
        <w:tc>
          <w:tcPr>
            <w:tcW w:w="2344" w:type="dxa"/>
            <w:shd w:val="clear" w:color="auto" w:fill="auto"/>
            <w:vAlign w:val="center"/>
          </w:tcPr>
          <w:p>
            <w:pPr>
              <w:rPr>
                <w:rFonts w:ascii="宋体" w:hAnsi="宋体" w:cs="宋体"/>
                <w:szCs w:val="21"/>
              </w:rPr>
            </w:pPr>
            <w:r>
              <w:rPr>
                <w:rFonts w:hint="eastAsia" w:ascii="宋体" w:hAnsi="宋体"/>
                <w:szCs w:val="21"/>
              </w:rPr>
              <w:t xml:space="preserve">  水费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30108</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机关事业单位基本养老保险缴费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12.28</w:t>
            </w:r>
          </w:p>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30206</w:t>
            </w:r>
          </w:p>
        </w:tc>
        <w:tc>
          <w:tcPr>
            <w:tcW w:w="2344" w:type="dxa"/>
            <w:shd w:val="clear" w:color="auto" w:fill="auto"/>
            <w:vAlign w:val="center"/>
          </w:tcPr>
          <w:p>
            <w:pPr>
              <w:rPr>
                <w:rFonts w:ascii="宋体" w:hAnsi="宋体" w:cs="宋体"/>
                <w:szCs w:val="21"/>
              </w:rPr>
            </w:pPr>
            <w:r>
              <w:rPr>
                <w:rFonts w:hint="eastAsia" w:ascii="宋体" w:hAnsi="宋体"/>
                <w:szCs w:val="21"/>
              </w:rPr>
              <w:t xml:space="preserve">  电费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30109</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职业年金缴费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5.83</w:t>
            </w:r>
          </w:p>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30207</w:t>
            </w:r>
          </w:p>
        </w:tc>
        <w:tc>
          <w:tcPr>
            <w:tcW w:w="2344" w:type="dxa"/>
            <w:shd w:val="clear" w:color="auto" w:fill="auto"/>
            <w:vAlign w:val="center"/>
          </w:tcPr>
          <w:p>
            <w:pPr>
              <w:rPr>
                <w:rFonts w:ascii="宋体" w:hAnsi="宋体" w:cs="宋体"/>
                <w:szCs w:val="21"/>
              </w:rPr>
            </w:pPr>
            <w:r>
              <w:rPr>
                <w:rFonts w:hint="eastAsia" w:ascii="宋体" w:hAnsi="宋体"/>
                <w:szCs w:val="21"/>
              </w:rPr>
              <w:t xml:space="preserve">  邮电费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0.29</w:t>
            </w:r>
          </w:p>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30110</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职工基本医疗保险缴费</w:t>
            </w:r>
          </w:p>
        </w:tc>
        <w:tc>
          <w:tcPr>
            <w:tcW w:w="1080" w:type="dxa"/>
            <w:shd w:val="clear" w:color="auto" w:fill="auto"/>
            <w:vAlign w:val="center"/>
          </w:tcPr>
          <w:p>
            <w:pPr>
              <w:jc w:val="right"/>
              <w:rPr>
                <w:rFonts w:ascii="宋体" w:hAnsi="宋体" w:cs="Arial"/>
                <w:color w:val="000000"/>
                <w:sz w:val="22"/>
              </w:rPr>
            </w:pPr>
            <w:r>
              <w:rPr>
                <w:rFonts w:hint="eastAsia" w:ascii="宋体" w:hAnsi="宋体" w:cs="Arial"/>
                <w:color w:val="000000"/>
                <w:sz w:val="22"/>
              </w:rPr>
              <w:t>7.24</w:t>
            </w:r>
          </w:p>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30208</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取暖费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30111</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公务员医疗补助缴费</w:t>
            </w:r>
          </w:p>
        </w:tc>
        <w:tc>
          <w:tcPr>
            <w:tcW w:w="1080" w:type="dxa"/>
            <w:shd w:val="clear" w:color="auto" w:fill="auto"/>
            <w:vAlign w:val="center"/>
          </w:tcPr>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30209</w:t>
            </w:r>
          </w:p>
        </w:tc>
        <w:tc>
          <w:tcPr>
            <w:tcW w:w="2344" w:type="dxa"/>
            <w:shd w:val="clear" w:color="auto" w:fill="auto"/>
            <w:vAlign w:val="center"/>
          </w:tcPr>
          <w:p>
            <w:pPr>
              <w:rPr>
                <w:rFonts w:ascii="宋体" w:hAnsi="宋体" w:cs="宋体"/>
                <w:szCs w:val="21"/>
              </w:rPr>
            </w:pPr>
            <w:r>
              <w:rPr>
                <w:rFonts w:hint="eastAsia" w:ascii="宋体" w:hAnsi="宋体"/>
                <w:szCs w:val="21"/>
              </w:rPr>
              <w:t xml:space="preserve">  物业管理费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30112</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其他社会保障缴费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1.33</w:t>
            </w:r>
          </w:p>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30211</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差旅费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0.06</w:t>
            </w:r>
          </w:p>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30113</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住房公积金</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6.77</w:t>
            </w:r>
          </w:p>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30212</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因公出国（境）费用</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30114</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医疗费</w:t>
            </w:r>
          </w:p>
        </w:tc>
        <w:tc>
          <w:tcPr>
            <w:tcW w:w="1080" w:type="dxa"/>
            <w:shd w:val="clear" w:color="auto" w:fill="auto"/>
            <w:vAlign w:val="center"/>
          </w:tcPr>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30213</w:t>
            </w:r>
          </w:p>
        </w:tc>
        <w:tc>
          <w:tcPr>
            <w:tcW w:w="2344" w:type="dxa"/>
            <w:shd w:val="clear" w:color="auto" w:fill="auto"/>
            <w:vAlign w:val="center"/>
          </w:tcPr>
          <w:p>
            <w:pPr>
              <w:rPr>
                <w:rFonts w:ascii="宋体" w:hAnsi="宋体" w:cs="宋体"/>
                <w:szCs w:val="21"/>
              </w:rPr>
            </w:pPr>
            <w:r>
              <w:rPr>
                <w:rFonts w:hint="eastAsia" w:ascii="宋体" w:hAnsi="宋体"/>
                <w:szCs w:val="21"/>
              </w:rPr>
              <w:t xml:space="preserve">  维修（护）费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30199</w:t>
            </w:r>
          </w:p>
        </w:tc>
        <w:tc>
          <w:tcPr>
            <w:tcW w:w="2880" w:type="dxa"/>
            <w:shd w:val="clear" w:color="auto" w:fill="auto"/>
            <w:vAlign w:val="center"/>
          </w:tcPr>
          <w:p>
            <w:pPr>
              <w:rPr>
                <w:rFonts w:ascii="宋体" w:hAnsi="宋体" w:cs="宋体"/>
                <w:szCs w:val="21"/>
              </w:rPr>
            </w:pPr>
            <w:r>
              <w:rPr>
                <w:rFonts w:hint="eastAsia" w:ascii="宋体" w:hAnsi="宋体"/>
                <w:szCs w:val="21"/>
              </w:rPr>
              <w:t xml:space="preserve">  其他工资福利支出</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30214</w:t>
            </w:r>
          </w:p>
        </w:tc>
        <w:tc>
          <w:tcPr>
            <w:tcW w:w="2344" w:type="dxa"/>
            <w:shd w:val="clear" w:color="auto" w:fill="auto"/>
            <w:vAlign w:val="center"/>
          </w:tcPr>
          <w:p>
            <w:pPr>
              <w:rPr>
                <w:rFonts w:ascii="宋体" w:hAnsi="宋体" w:cs="宋体"/>
                <w:szCs w:val="21"/>
              </w:rPr>
            </w:pPr>
            <w:r>
              <w:rPr>
                <w:rFonts w:hint="eastAsia" w:ascii="宋体" w:hAnsi="宋体"/>
                <w:szCs w:val="21"/>
              </w:rPr>
              <w:t xml:space="preserve">  租赁费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w:t>
            </w:r>
          </w:p>
        </w:tc>
        <w:tc>
          <w:tcPr>
            <w:tcW w:w="2880" w:type="dxa"/>
            <w:shd w:val="clear" w:color="auto" w:fill="auto"/>
            <w:vAlign w:val="center"/>
          </w:tcPr>
          <w:p>
            <w:pPr>
              <w:rPr>
                <w:rFonts w:ascii="宋体" w:hAnsi="宋体" w:cs="宋体"/>
                <w:szCs w:val="21"/>
              </w:rPr>
            </w:pPr>
            <w:r>
              <w:rPr>
                <w:rFonts w:hint="eastAsia" w:ascii="宋体" w:hAnsi="宋体"/>
                <w:szCs w:val="21"/>
              </w:rPr>
              <w:t>对个人和家庭的补助</w:t>
            </w:r>
          </w:p>
        </w:tc>
        <w:tc>
          <w:tcPr>
            <w:tcW w:w="1080" w:type="dxa"/>
            <w:shd w:val="clear" w:color="auto" w:fill="auto"/>
            <w:vAlign w:val="center"/>
          </w:tcPr>
          <w:p>
            <w:pPr>
              <w:jc w:val="right"/>
              <w:rPr>
                <w:rFonts w:ascii="宋体" w:hAnsi="宋体" w:cs="宋体"/>
                <w:szCs w:val="21"/>
              </w:rPr>
            </w:pPr>
            <w:r>
              <w:rPr>
                <w:rFonts w:hint="eastAsia" w:ascii="宋体" w:hAnsi="宋体" w:cs="宋体"/>
                <w:szCs w:val="21"/>
              </w:rPr>
              <w:t>0.21</w:t>
            </w:r>
          </w:p>
        </w:tc>
        <w:tc>
          <w:tcPr>
            <w:tcW w:w="1076" w:type="dxa"/>
            <w:shd w:val="clear" w:color="auto" w:fill="auto"/>
            <w:vAlign w:val="center"/>
          </w:tcPr>
          <w:p>
            <w:pPr>
              <w:rPr>
                <w:rFonts w:ascii="宋体" w:hAnsi="宋体" w:cs="Arial"/>
                <w:szCs w:val="21"/>
              </w:rPr>
            </w:pPr>
            <w:r>
              <w:rPr>
                <w:rFonts w:hint="eastAsia" w:ascii="宋体" w:hAnsi="宋体" w:cs="Arial"/>
                <w:szCs w:val="21"/>
              </w:rPr>
              <w:t>30215</w:t>
            </w:r>
          </w:p>
        </w:tc>
        <w:tc>
          <w:tcPr>
            <w:tcW w:w="2344" w:type="dxa"/>
            <w:shd w:val="clear" w:color="auto" w:fill="auto"/>
            <w:vAlign w:val="center"/>
          </w:tcPr>
          <w:p>
            <w:pPr>
              <w:rPr>
                <w:rFonts w:ascii="宋体" w:hAnsi="宋体" w:cs="宋体"/>
                <w:szCs w:val="21"/>
              </w:rPr>
            </w:pPr>
            <w:r>
              <w:rPr>
                <w:rFonts w:hint="eastAsia" w:ascii="宋体" w:hAnsi="宋体"/>
                <w:szCs w:val="21"/>
              </w:rPr>
              <w:t xml:space="preserve">  会议费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30301</w:t>
            </w:r>
          </w:p>
        </w:tc>
        <w:tc>
          <w:tcPr>
            <w:tcW w:w="2880" w:type="dxa"/>
            <w:shd w:val="clear" w:color="auto" w:fill="auto"/>
            <w:vAlign w:val="center"/>
          </w:tcPr>
          <w:p>
            <w:pPr>
              <w:rPr>
                <w:rFonts w:ascii="宋体" w:hAnsi="宋体" w:cs="宋体"/>
                <w:szCs w:val="21"/>
              </w:rPr>
            </w:pPr>
            <w:r>
              <w:rPr>
                <w:rFonts w:hint="eastAsia" w:ascii="宋体" w:hAnsi="宋体"/>
                <w:szCs w:val="21"/>
              </w:rPr>
              <w:t xml:space="preserve">  离休费</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30216</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培训费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30302</w:t>
            </w:r>
          </w:p>
        </w:tc>
        <w:tc>
          <w:tcPr>
            <w:tcW w:w="2880" w:type="dxa"/>
            <w:shd w:val="clear" w:color="auto" w:fill="auto"/>
            <w:vAlign w:val="center"/>
          </w:tcPr>
          <w:p>
            <w:pPr>
              <w:rPr>
                <w:rFonts w:ascii="宋体" w:hAnsi="宋体" w:cs="宋体"/>
                <w:szCs w:val="21"/>
              </w:rPr>
            </w:pPr>
            <w:r>
              <w:rPr>
                <w:rFonts w:hint="eastAsia" w:ascii="宋体" w:hAnsi="宋体"/>
                <w:szCs w:val="21"/>
              </w:rPr>
              <w:t xml:space="preserve">  退休费</w:t>
            </w:r>
          </w:p>
        </w:tc>
        <w:tc>
          <w:tcPr>
            <w:tcW w:w="1080" w:type="dxa"/>
            <w:shd w:val="clear" w:color="auto" w:fill="auto"/>
            <w:vAlign w:val="center"/>
          </w:tcPr>
          <w:p>
            <w:pPr>
              <w:jc w:val="right"/>
              <w:rPr>
                <w:rFonts w:ascii="宋体" w:hAnsi="宋体" w:cs="宋体"/>
                <w:szCs w:val="21"/>
              </w:rPr>
            </w:pPr>
            <w:r>
              <w:rPr>
                <w:rFonts w:hint="eastAsia" w:ascii="宋体" w:hAnsi="宋体" w:cs="宋体"/>
                <w:szCs w:val="21"/>
              </w:rPr>
              <w:t>0.14</w:t>
            </w:r>
          </w:p>
        </w:tc>
        <w:tc>
          <w:tcPr>
            <w:tcW w:w="1076" w:type="dxa"/>
            <w:shd w:val="clear" w:color="auto" w:fill="auto"/>
            <w:vAlign w:val="center"/>
          </w:tcPr>
          <w:p>
            <w:pPr>
              <w:rPr>
                <w:rFonts w:ascii="宋体" w:hAnsi="宋体" w:cs="Arial"/>
                <w:szCs w:val="21"/>
              </w:rPr>
            </w:pPr>
            <w:r>
              <w:rPr>
                <w:rFonts w:hint="eastAsia" w:ascii="宋体" w:hAnsi="宋体" w:cs="Arial"/>
                <w:szCs w:val="21"/>
              </w:rPr>
              <w:t>30217</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公务接待费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30303</w:t>
            </w:r>
          </w:p>
        </w:tc>
        <w:tc>
          <w:tcPr>
            <w:tcW w:w="2880" w:type="dxa"/>
            <w:shd w:val="clear" w:color="auto" w:fill="auto"/>
            <w:vAlign w:val="center"/>
          </w:tcPr>
          <w:p>
            <w:pPr>
              <w:rPr>
                <w:rFonts w:ascii="宋体" w:hAnsi="宋体" w:cs="宋体"/>
                <w:szCs w:val="21"/>
              </w:rPr>
            </w:pPr>
            <w:r>
              <w:rPr>
                <w:rFonts w:hint="eastAsia" w:ascii="宋体" w:hAnsi="宋体"/>
                <w:szCs w:val="21"/>
              </w:rPr>
              <w:t xml:space="preserve">  退职（役）费</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30218</w:t>
            </w:r>
          </w:p>
        </w:tc>
        <w:tc>
          <w:tcPr>
            <w:tcW w:w="2344" w:type="dxa"/>
            <w:shd w:val="clear" w:color="auto" w:fill="auto"/>
            <w:vAlign w:val="center"/>
          </w:tcPr>
          <w:p>
            <w:pPr>
              <w:rPr>
                <w:rFonts w:ascii="宋体" w:hAnsi="宋体" w:cs="宋体"/>
                <w:szCs w:val="21"/>
              </w:rPr>
            </w:pPr>
            <w:r>
              <w:rPr>
                <w:rFonts w:hint="eastAsia" w:ascii="宋体" w:hAnsi="宋体"/>
                <w:szCs w:val="21"/>
              </w:rPr>
              <w:t xml:space="preserve">  专用材料费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30304</w:t>
            </w:r>
          </w:p>
        </w:tc>
        <w:tc>
          <w:tcPr>
            <w:tcW w:w="2880" w:type="dxa"/>
            <w:shd w:val="clear" w:color="auto" w:fill="auto"/>
            <w:vAlign w:val="center"/>
          </w:tcPr>
          <w:p>
            <w:pPr>
              <w:rPr>
                <w:rFonts w:ascii="宋体" w:hAnsi="宋体" w:cs="宋体"/>
                <w:szCs w:val="21"/>
              </w:rPr>
            </w:pPr>
            <w:r>
              <w:rPr>
                <w:rFonts w:hint="eastAsia" w:ascii="宋体" w:hAnsi="宋体"/>
                <w:szCs w:val="21"/>
              </w:rPr>
              <w:t xml:space="preserve">  抚恤金</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30224</w:t>
            </w:r>
          </w:p>
        </w:tc>
        <w:tc>
          <w:tcPr>
            <w:tcW w:w="2344" w:type="dxa"/>
            <w:shd w:val="clear" w:color="auto" w:fill="auto"/>
            <w:vAlign w:val="center"/>
          </w:tcPr>
          <w:p>
            <w:pPr>
              <w:rPr>
                <w:rFonts w:ascii="宋体" w:hAnsi="宋体" w:cs="宋体"/>
                <w:szCs w:val="21"/>
              </w:rPr>
            </w:pPr>
            <w:r>
              <w:rPr>
                <w:rFonts w:hint="eastAsia" w:ascii="宋体" w:hAnsi="宋体"/>
                <w:szCs w:val="21"/>
              </w:rPr>
              <w:t xml:space="preserve">  被装购置费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30305</w:t>
            </w:r>
          </w:p>
        </w:tc>
        <w:tc>
          <w:tcPr>
            <w:tcW w:w="2880" w:type="dxa"/>
            <w:shd w:val="clear" w:color="auto" w:fill="auto"/>
            <w:vAlign w:val="center"/>
          </w:tcPr>
          <w:p>
            <w:pPr>
              <w:rPr>
                <w:rFonts w:ascii="宋体" w:hAnsi="宋体" w:cs="宋体"/>
                <w:szCs w:val="21"/>
              </w:rPr>
            </w:pPr>
            <w:r>
              <w:rPr>
                <w:rFonts w:hint="eastAsia" w:ascii="宋体" w:hAnsi="宋体"/>
                <w:szCs w:val="21"/>
              </w:rPr>
              <w:t xml:space="preserve">  生活补助</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30225</w:t>
            </w:r>
          </w:p>
        </w:tc>
        <w:tc>
          <w:tcPr>
            <w:tcW w:w="2344" w:type="dxa"/>
            <w:shd w:val="clear" w:color="auto" w:fill="auto"/>
            <w:vAlign w:val="center"/>
          </w:tcPr>
          <w:p>
            <w:pPr>
              <w:rPr>
                <w:rFonts w:ascii="宋体" w:hAnsi="宋体" w:cs="宋体"/>
                <w:szCs w:val="21"/>
              </w:rPr>
            </w:pPr>
            <w:r>
              <w:rPr>
                <w:rFonts w:hint="eastAsia" w:ascii="宋体" w:hAnsi="宋体"/>
                <w:szCs w:val="21"/>
              </w:rPr>
              <w:t xml:space="preserve">  专用燃料费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30307</w:t>
            </w:r>
          </w:p>
        </w:tc>
        <w:tc>
          <w:tcPr>
            <w:tcW w:w="2880" w:type="dxa"/>
            <w:shd w:val="clear" w:color="auto" w:fill="auto"/>
            <w:vAlign w:val="center"/>
          </w:tcPr>
          <w:p>
            <w:pPr>
              <w:rPr>
                <w:rFonts w:ascii="宋体" w:hAnsi="宋体" w:cs="宋体"/>
                <w:szCs w:val="21"/>
              </w:rPr>
            </w:pPr>
            <w:r>
              <w:rPr>
                <w:rFonts w:hint="eastAsia" w:ascii="宋体" w:hAnsi="宋体"/>
                <w:szCs w:val="21"/>
              </w:rPr>
              <w:t xml:space="preserve">  医疗费补助</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30226</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劳务费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30308</w:t>
            </w:r>
          </w:p>
        </w:tc>
        <w:tc>
          <w:tcPr>
            <w:tcW w:w="2880" w:type="dxa"/>
            <w:shd w:val="clear" w:color="auto" w:fill="auto"/>
            <w:vAlign w:val="center"/>
          </w:tcPr>
          <w:p>
            <w:pPr>
              <w:rPr>
                <w:rFonts w:ascii="宋体" w:hAnsi="宋体" w:cs="宋体"/>
                <w:szCs w:val="21"/>
              </w:rPr>
            </w:pPr>
            <w:r>
              <w:rPr>
                <w:rFonts w:hint="eastAsia" w:ascii="宋体" w:hAnsi="宋体"/>
                <w:szCs w:val="21"/>
              </w:rPr>
              <w:t xml:space="preserve">  助学金</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30227</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委托业务费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30309</w:t>
            </w:r>
          </w:p>
        </w:tc>
        <w:tc>
          <w:tcPr>
            <w:tcW w:w="2880" w:type="dxa"/>
            <w:shd w:val="clear" w:color="auto" w:fill="auto"/>
            <w:vAlign w:val="center"/>
          </w:tcPr>
          <w:p>
            <w:pPr>
              <w:rPr>
                <w:rFonts w:ascii="宋体" w:hAnsi="宋体" w:cs="宋体"/>
                <w:szCs w:val="21"/>
              </w:rPr>
            </w:pPr>
            <w:r>
              <w:rPr>
                <w:rFonts w:hint="eastAsia" w:ascii="宋体" w:hAnsi="宋体"/>
                <w:szCs w:val="21"/>
              </w:rPr>
              <w:t xml:space="preserve">  奖励金</w:t>
            </w:r>
          </w:p>
        </w:tc>
        <w:tc>
          <w:tcPr>
            <w:tcW w:w="1080" w:type="dxa"/>
            <w:shd w:val="clear" w:color="auto" w:fill="auto"/>
            <w:vAlign w:val="center"/>
          </w:tcPr>
          <w:p>
            <w:pPr>
              <w:jc w:val="right"/>
              <w:rPr>
                <w:rFonts w:ascii="宋体" w:hAnsi="宋体" w:cs="宋体"/>
                <w:szCs w:val="21"/>
              </w:rPr>
            </w:pPr>
            <w:r>
              <w:rPr>
                <w:rFonts w:hint="eastAsia" w:ascii="宋体" w:hAnsi="宋体" w:cs="宋体"/>
                <w:szCs w:val="21"/>
              </w:rPr>
              <w:t>0.07</w:t>
            </w:r>
          </w:p>
        </w:tc>
        <w:tc>
          <w:tcPr>
            <w:tcW w:w="1076" w:type="dxa"/>
            <w:shd w:val="clear" w:color="auto" w:fill="auto"/>
            <w:vAlign w:val="center"/>
          </w:tcPr>
          <w:p>
            <w:pPr>
              <w:rPr>
                <w:rFonts w:ascii="宋体" w:hAnsi="宋体" w:cs="Arial"/>
                <w:szCs w:val="21"/>
              </w:rPr>
            </w:pPr>
            <w:r>
              <w:rPr>
                <w:rFonts w:hint="eastAsia" w:ascii="宋体" w:hAnsi="宋体" w:cs="Arial"/>
                <w:szCs w:val="21"/>
              </w:rPr>
              <w:t>30228</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工会经费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1.26</w:t>
            </w:r>
          </w:p>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30310</w:t>
            </w:r>
          </w:p>
        </w:tc>
        <w:tc>
          <w:tcPr>
            <w:tcW w:w="2880" w:type="dxa"/>
            <w:shd w:val="clear" w:color="auto" w:fill="auto"/>
            <w:vAlign w:val="center"/>
          </w:tcPr>
          <w:p>
            <w:pPr>
              <w:ind w:firstLine="210" w:firstLineChars="100"/>
              <w:rPr>
                <w:rFonts w:ascii="宋体" w:hAnsi="宋体"/>
                <w:szCs w:val="21"/>
              </w:rPr>
            </w:pPr>
            <w:r>
              <w:rPr>
                <w:rFonts w:hint="eastAsia" w:ascii="宋体" w:hAnsi="宋体"/>
                <w:szCs w:val="21"/>
              </w:rPr>
              <w:t>个人农业生产补贴</w:t>
            </w:r>
          </w:p>
        </w:tc>
        <w:tc>
          <w:tcPr>
            <w:tcW w:w="1080" w:type="dxa"/>
            <w:shd w:val="clear" w:color="auto" w:fill="auto"/>
            <w:vAlign w:val="center"/>
          </w:tcPr>
          <w:p>
            <w:pPr>
              <w:ind w:firstLine="210" w:firstLineChars="10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30229</w:t>
            </w:r>
          </w:p>
        </w:tc>
        <w:tc>
          <w:tcPr>
            <w:tcW w:w="2344" w:type="dxa"/>
            <w:shd w:val="clear" w:color="auto" w:fill="auto"/>
            <w:vAlign w:val="center"/>
          </w:tcPr>
          <w:p>
            <w:pPr>
              <w:rPr>
                <w:rFonts w:ascii="宋体" w:hAnsi="宋体" w:cs="宋体"/>
                <w:szCs w:val="21"/>
              </w:rPr>
            </w:pPr>
            <w:r>
              <w:rPr>
                <w:rFonts w:hint="eastAsia" w:ascii="宋体" w:hAnsi="宋体"/>
                <w:szCs w:val="21"/>
              </w:rPr>
              <w:t xml:space="preserve">  福利费</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1.80</w:t>
            </w:r>
          </w:p>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30311</w:t>
            </w:r>
          </w:p>
        </w:tc>
        <w:tc>
          <w:tcPr>
            <w:tcW w:w="2880" w:type="dxa"/>
            <w:shd w:val="clear" w:color="auto" w:fill="auto"/>
            <w:vAlign w:val="center"/>
          </w:tcPr>
          <w:p>
            <w:pPr>
              <w:rPr>
                <w:rFonts w:ascii="宋体" w:hAnsi="宋体"/>
                <w:szCs w:val="21"/>
              </w:rPr>
            </w:pPr>
            <w:r>
              <w:rPr>
                <w:rFonts w:hint="eastAsia" w:ascii="宋体" w:hAnsi="宋体"/>
                <w:szCs w:val="21"/>
              </w:rPr>
              <w:t xml:space="preserve">  代缴社会保险费</w:t>
            </w:r>
          </w:p>
        </w:tc>
        <w:tc>
          <w:tcPr>
            <w:tcW w:w="1080" w:type="dxa"/>
            <w:shd w:val="clear" w:color="auto" w:fill="auto"/>
            <w:vAlign w:val="center"/>
          </w:tcPr>
          <w:p>
            <w:pPr>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30231</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公务用车运行维护费</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rPr>
                <w:rFonts w:ascii="宋体" w:hAnsi="宋体" w:cs="Arial"/>
                <w:szCs w:val="21"/>
              </w:rPr>
            </w:pPr>
            <w:r>
              <w:rPr>
                <w:rFonts w:hint="eastAsia" w:ascii="宋体" w:hAnsi="宋体" w:cs="Arial"/>
                <w:szCs w:val="21"/>
              </w:rPr>
              <w:t>30399</w:t>
            </w:r>
          </w:p>
        </w:tc>
        <w:tc>
          <w:tcPr>
            <w:tcW w:w="2880" w:type="dxa"/>
            <w:shd w:val="clear" w:color="auto" w:fill="auto"/>
            <w:vAlign w:val="center"/>
          </w:tcPr>
          <w:p>
            <w:pPr>
              <w:rPr>
                <w:rFonts w:ascii="宋体" w:hAnsi="宋体" w:cs="宋体"/>
                <w:szCs w:val="21"/>
              </w:rPr>
            </w:pPr>
            <w:r>
              <w:rPr>
                <w:rFonts w:hint="eastAsia" w:ascii="宋体" w:hAnsi="宋体"/>
                <w:szCs w:val="21"/>
              </w:rPr>
              <w:t xml:space="preserve">  其他对个人和家庭的补助</w:t>
            </w:r>
          </w:p>
        </w:tc>
        <w:tc>
          <w:tcPr>
            <w:tcW w:w="1080" w:type="dxa"/>
            <w:shd w:val="clear" w:color="auto" w:fill="auto"/>
            <w:vAlign w:val="center"/>
          </w:tcPr>
          <w:p>
            <w:pPr>
              <w:jc w:val="right"/>
              <w:rPr>
                <w:rFonts w:ascii="宋体" w:hAnsi="宋体" w:cs="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30239</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其他交通费用</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30240</w:t>
            </w:r>
          </w:p>
        </w:tc>
        <w:tc>
          <w:tcPr>
            <w:tcW w:w="2344" w:type="dxa"/>
            <w:shd w:val="clear" w:color="auto" w:fill="auto"/>
            <w:vAlign w:val="center"/>
          </w:tcPr>
          <w:p>
            <w:pPr>
              <w:rPr>
                <w:rFonts w:ascii="宋体" w:hAnsi="宋体" w:cs="宋体"/>
                <w:szCs w:val="21"/>
              </w:rPr>
            </w:pPr>
            <w:r>
              <w:rPr>
                <w:rFonts w:hint="eastAsia" w:ascii="宋体" w:hAnsi="宋体"/>
                <w:szCs w:val="21"/>
              </w:rPr>
              <w:t xml:space="preserve">  税金及附加费用</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30299</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其他商品和服务支出</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w:t>
            </w:r>
          </w:p>
        </w:tc>
        <w:tc>
          <w:tcPr>
            <w:tcW w:w="2344" w:type="dxa"/>
            <w:shd w:val="clear" w:color="auto" w:fill="auto"/>
            <w:vAlign w:val="center"/>
          </w:tcPr>
          <w:p>
            <w:pPr>
              <w:rPr>
                <w:rFonts w:ascii="宋体" w:hAnsi="宋体" w:cs="宋体"/>
                <w:szCs w:val="21"/>
              </w:rPr>
            </w:pPr>
            <w:r>
              <w:rPr>
                <w:rFonts w:hint="eastAsia" w:ascii="宋体" w:hAnsi="宋体"/>
                <w:szCs w:val="21"/>
              </w:rPr>
              <w:t>资本性支出</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31002</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办公设备购置</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31003</w:t>
            </w:r>
          </w:p>
        </w:tc>
        <w:tc>
          <w:tcPr>
            <w:tcW w:w="2344" w:type="dxa"/>
            <w:shd w:val="clear" w:color="auto" w:fill="auto"/>
            <w:vAlign w:val="center"/>
          </w:tcPr>
          <w:p>
            <w:pPr>
              <w:rPr>
                <w:rFonts w:ascii="宋体" w:hAnsi="宋体" w:cs="宋体"/>
                <w:szCs w:val="21"/>
              </w:rPr>
            </w:pPr>
            <w:r>
              <w:rPr>
                <w:rFonts w:hint="eastAsia" w:ascii="宋体" w:hAnsi="宋体"/>
                <w:szCs w:val="21"/>
              </w:rPr>
              <w:t xml:space="preserve">  专用设备购置</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31007</w:t>
            </w:r>
          </w:p>
        </w:tc>
        <w:tc>
          <w:tcPr>
            <w:tcW w:w="2344" w:type="dxa"/>
            <w:shd w:val="clear" w:color="auto" w:fill="auto"/>
            <w:vAlign w:val="center"/>
          </w:tcPr>
          <w:p>
            <w:pPr>
              <w:rPr>
                <w:rFonts w:ascii="宋体" w:hAnsi="宋体" w:cs="宋体"/>
                <w:szCs w:val="21"/>
              </w:rPr>
            </w:pPr>
            <w:r>
              <w:rPr>
                <w:rFonts w:hint="eastAsia" w:ascii="宋体" w:hAnsi="宋体"/>
                <w:szCs w:val="21"/>
              </w:rPr>
              <w:t xml:space="preserve">  信息网络及软件购置更新</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31013</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公务用车购置</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31019</w:t>
            </w:r>
          </w:p>
        </w:tc>
        <w:tc>
          <w:tcPr>
            <w:tcW w:w="2344" w:type="dxa"/>
            <w:shd w:val="clear" w:color="auto" w:fill="auto"/>
            <w:vAlign w:val="center"/>
          </w:tcPr>
          <w:p>
            <w:pPr>
              <w:rPr>
                <w:rFonts w:ascii="宋体" w:hAnsi="宋体"/>
                <w:szCs w:val="21"/>
              </w:rPr>
            </w:pPr>
            <w:r>
              <w:rPr>
                <w:rFonts w:hint="eastAsia" w:ascii="宋体" w:hAnsi="宋体"/>
                <w:szCs w:val="21"/>
              </w:rPr>
              <w:t xml:space="preserve">  其他交通工具购置</w:t>
            </w:r>
          </w:p>
        </w:tc>
        <w:tc>
          <w:tcPr>
            <w:tcW w:w="1080" w:type="dxa"/>
            <w:shd w:val="clear" w:color="auto" w:fill="auto"/>
            <w:vAlign w:val="center"/>
          </w:tcPr>
          <w:p>
            <w:pPr>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31021</w:t>
            </w:r>
          </w:p>
        </w:tc>
        <w:tc>
          <w:tcPr>
            <w:tcW w:w="2344" w:type="dxa"/>
            <w:shd w:val="clear" w:color="auto" w:fill="auto"/>
            <w:vAlign w:val="center"/>
          </w:tcPr>
          <w:p>
            <w:pPr>
              <w:rPr>
                <w:rFonts w:ascii="宋体" w:hAnsi="宋体"/>
                <w:szCs w:val="21"/>
              </w:rPr>
            </w:pPr>
            <w:r>
              <w:rPr>
                <w:rFonts w:hint="eastAsia" w:ascii="宋体" w:hAnsi="宋体"/>
                <w:szCs w:val="21"/>
              </w:rPr>
              <w:t xml:space="preserve">  文物和陈列品购置</w:t>
            </w:r>
          </w:p>
        </w:tc>
        <w:tc>
          <w:tcPr>
            <w:tcW w:w="1080" w:type="dxa"/>
            <w:shd w:val="clear" w:color="auto" w:fill="auto"/>
            <w:vAlign w:val="center"/>
          </w:tcPr>
          <w:p>
            <w:pPr>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31022</w:t>
            </w:r>
          </w:p>
        </w:tc>
        <w:tc>
          <w:tcPr>
            <w:tcW w:w="2344" w:type="dxa"/>
            <w:shd w:val="clear" w:color="auto" w:fill="auto"/>
            <w:vAlign w:val="center"/>
          </w:tcPr>
          <w:p>
            <w:pPr>
              <w:rPr>
                <w:rFonts w:ascii="宋体" w:hAnsi="宋体"/>
                <w:szCs w:val="21"/>
              </w:rPr>
            </w:pPr>
            <w:r>
              <w:rPr>
                <w:rFonts w:hint="eastAsia" w:ascii="宋体" w:hAnsi="宋体"/>
                <w:szCs w:val="21"/>
              </w:rPr>
              <w:t xml:space="preserve">  无形资产购置</w:t>
            </w:r>
          </w:p>
        </w:tc>
        <w:tc>
          <w:tcPr>
            <w:tcW w:w="1080" w:type="dxa"/>
            <w:shd w:val="clear" w:color="auto" w:fill="auto"/>
            <w:vAlign w:val="center"/>
          </w:tcPr>
          <w:p>
            <w:pPr>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center"/>
          </w:tcPr>
          <w:p>
            <w:pPr>
              <w:autoSpaceDE w:val="0"/>
              <w:autoSpaceDN w:val="0"/>
              <w:adjustRightInd w:val="0"/>
              <w:ind w:right="840"/>
              <w:rPr>
                <w:rFonts w:ascii="宋体" w:hAnsi="宋体"/>
                <w:szCs w:val="21"/>
              </w:rPr>
            </w:pPr>
          </w:p>
        </w:tc>
        <w:tc>
          <w:tcPr>
            <w:tcW w:w="2880" w:type="dxa"/>
            <w:shd w:val="clear" w:color="auto" w:fill="auto"/>
            <w:vAlign w:val="center"/>
          </w:tcPr>
          <w:p>
            <w:pPr>
              <w:autoSpaceDE w:val="0"/>
              <w:autoSpaceDN w:val="0"/>
              <w:adjustRightInd w:val="0"/>
              <w:ind w:right="840"/>
              <w:rPr>
                <w:rFonts w:ascii="宋体" w:hAnsi="宋体"/>
                <w:szCs w:val="21"/>
              </w:rPr>
            </w:pPr>
          </w:p>
        </w:tc>
        <w:tc>
          <w:tcPr>
            <w:tcW w:w="1080" w:type="dxa"/>
            <w:shd w:val="clear" w:color="auto" w:fill="auto"/>
            <w:vAlign w:val="center"/>
          </w:tcPr>
          <w:p>
            <w:pPr>
              <w:autoSpaceDE w:val="0"/>
              <w:autoSpaceDN w:val="0"/>
              <w:adjustRightInd w:val="0"/>
              <w:ind w:right="840"/>
              <w:jc w:val="right"/>
              <w:rPr>
                <w:rFonts w:ascii="宋体" w:hAnsi="宋体"/>
                <w:szCs w:val="21"/>
              </w:rPr>
            </w:pPr>
          </w:p>
        </w:tc>
        <w:tc>
          <w:tcPr>
            <w:tcW w:w="1076" w:type="dxa"/>
            <w:shd w:val="clear" w:color="auto" w:fill="auto"/>
            <w:vAlign w:val="center"/>
          </w:tcPr>
          <w:p>
            <w:pPr>
              <w:rPr>
                <w:rFonts w:ascii="宋体" w:hAnsi="宋体" w:cs="Arial"/>
                <w:szCs w:val="21"/>
              </w:rPr>
            </w:pPr>
            <w:r>
              <w:rPr>
                <w:rFonts w:hint="eastAsia" w:ascii="宋体" w:hAnsi="宋体" w:cs="Arial"/>
                <w:szCs w:val="21"/>
              </w:rPr>
              <w:t>31099</w:t>
            </w:r>
          </w:p>
        </w:tc>
        <w:tc>
          <w:tcPr>
            <w:tcW w:w="2344" w:type="dxa"/>
            <w:shd w:val="clear" w:color="auto" w:fill="auto"/>
            <w:vAlign w:val="center"/>
          </w:tcPr>
          <w:p>
            <w:pPr>
              <w:rPr>
                <w:rFonts w:ascii="宋体" w:hAnsi="宋体" w:cs="宋体"/>
                <w:szCs w:val="21"/>
              </w:rPr>
            </w:pPr>
            <w:r>
              <w:rPr>
                <w:rFonts w:hint="eastAsia" w:ascii="宋体" w:hAnsi="宋体"/>
                <w:szCs w:val="21"/>
              </w:rPr>
              <w:t xml:space="preserve">  其他资本性支出</w:t>
            </w:r>
          </w:p>
        </w:tc>
        <w:tc>
          <w:tcPr>
            <w:tcW w:w="1080" w:type="dxa"/>
            <w:shd w:val="clear" w:color="auto" w:fill="auto"/>
            <w:vAlign w:val="center"/>
          </w:tcPr>
          <w:p>
            <w:pPr>
              <w:jc w:val="righ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60" w:type="dxa"/>
            <w:gridSpan w:val="2"/>
            <w:shd w:val="clear" w:color="auto" w:fill="auto"/>
            <w:vAlign w:val="center"/>
          </w:tcPr>
          <w:p>
            <w:pPr>
              <w:autoSpaceDE w:val="0"/>
              <w:autoSpaceDN w:val="0"/>
              <w:adjustRightInd w:val="0"/>
              <w:ind w:right="840"/>
              <w:jc w:val="center"/>
              <w:rPr>
                <w:rFonts w:ascii="宋体" w:hAnsi="宋体"/>
                <w:szCs w:val="21"/>
              </w:rPr>
            </w:pPr>
            <w:r>
              <w:rPr>
                <w:rFonts w:hint="eastAsia" w:ascii="宋体" w:hAnsi="宋体"/>
                <w:szCs w:val="21"/>
              </w:rPr>
              <w:t>人员经费合计</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115.93</w:t>
            </w:r>
          </w:p>
          <w:p>
            <w:pPr>
              <w:autoSpaceDE w:val="0"/>
              <w:autoSpaceDN w:val="0"/>
              <w:adjustRightInd w:val="0"/>
              <w:ind w:right="840"/>
              <w:jc w:val="right"/>
              <w:rPr>
                <w:rFonts w:ascii="宋体" w:hAnsi="宋体"/>
                <w:szCs w:val="21"/>
              </w:rPr>
            </w:pPr>
          </w:p>
        </w:tc>
        <w:tc>
          <w:tcPr>
            <w:tcW w:w="3420" w:type="dxa"/>
            <w:gridSpan w:val="2"/>
            <w:shd w:val="clear" w:color="auto" w:fill="auto"/>
            <w:vAlign w:val="center"/>
          </w:tcPr>
          <w:p>
            <w:pPr>
              <w:jc w:val="center"/>
              <w:rPr>
                <w:rFonts w:ascii="宋体" w:hAnsi="宋体"/>
                <w:szCs w:val="21"/>
              </w:rPr>
            </w:pPr>
            <w:r>
              <w:rPr>
                <w:rFonts w:hint="eastAsia" w:ascii="宋体" w:hAnsi="宋体"/>
                <w:szCs w:val="21"/>
              </w:rPr>
              <w:t>公用经费合计</w:t>
            </w:r>
          </w:p>
        </w:tc>
        <w:tc>
          <w:tcPr>
            <w:tcW w:w="1080" w:type="dxa"/>
            <w:shd w:val="clear" w:color="auto" w:fill="auto"/>
            <w:vAlign w:val="center"/>
          </w:tcPr>
          <w:p>
            <w:pPr>
              <w:jc w:val="right"/>
              <w:rPr>
                <w:rFonts w:ascii="宋体" w:hAnsi="宋体" w:cs="Arial"/>
                <w:color w:val="000000"/>
                <w:sz w:val="22"/>
              </w:rPr>
            </w:pPr>
            <w:r>
              <w:rPr>
                <w:rFonts w:hint="eastAsia" w:cs="Arial"/>
                <w:color w:val="000000"/>
                <w:sz w:val="22"/>
              </w:rPr>
              <w:t>4.41</w:t>
            </w:r>
          </w:p>
          <w:p>
            <w:pPr>
              <w:jc w:val="right"/>
              <w:rPr>
                <w:rFonts w:ascii="宋体" w:hAnsi="宋体" w:cs="宋体"/>
                <w:szCs w:val="21"/>
              </w:rPr>
            </w:pPr>
          </w:p>
        </w:tc>
      </w:tr>
    </w:tbl>
    <w:p>
      <w:pPr>
        <w:autoSpaceDE w:val="0"/>
        <w:autoSpaceDN w:val="0"/>
        <w:adjustRightInd w:val="0"/>
        <w:rPr>
          <w:rFonts w:ascii="宋体" w:hAnsi="宋体"/>
          <w:color w:val="FF0000"/>
          <w:szCs w:val="21"/>
        </w:rPr>
        <w:sectPr>
          <w:pgSz w:w="11906" w:h="16838"/>
          <w:pgMar w:top="1440" w:right="1797" w:bottom="1440" w:left="1797" w:header="851" w:footer="992" w:gutter="0"/>
          <w:cols w:space="425" w:num="1"/>
          <w:docGrid w:linePitch="312" w:charSpace="0"/>
        </w:sectPr>
      </w:pPr>
      <w:r>
        <w:rPr>
          <w:rFonts w:hint="eastAsia" w:ascii="宋体" w:hAnsi="宋体"/>
          <w:color w:val="FF0000"/>
          <w:szCs w:val="21"/>
        </w:rPr>
        <w:t>注：本表反映单位本年度一般公共预算财政拨款基本支出明细情况。</w:t>
      </w:r>
    </w:p>
    <w:p>
      <w:pPr>
        <w:autoSpaceDE w:val="0"/>
        <w:autoSpaceDN w:val="0"/>
        <w:adjustRightInd w:val="0"/>
        <w:jc w:val="center"/>
        <w:outlineLvl w:val="0"/>
        <w:rPr>
          <w:rFonts w:ascii="宋体" w:hAnsi="宋体"/>
          <w:szCs w:val="21"/>
        </w:rPr>
      </w:pPr>
      <w:r>
        <w:rPr>
          <w:rFonts w:hint="eastAsia" w:ascii="宋体" w:hAnsi="宋体"/>
          <w:szCs w:val="21"/>
        </w:rPr>
        <w:t>一般公共预算财政拨款“三公”经费支出决算表</w:t>
      </w:r>
    </w:p>
    <w:p>
      <w:pPr>
        <w:autoSpaceDE w:val="0"/>
        <w:autoSpaceDN w:val="0"/>
        <w:adjustRightInd w:val="0"/>
        <w:ind w:right="675"/>
        <w:jc w:val="right"/>
        <w:rPr>
          <w:rFonts w:ascii="宋体" w:hAnsi="宋体"/>
          <w:szCs w:val="21"/>
        </w:rPr>
      </w:pPr>
      <w:r>
        <w:rPr>
          <w:rFonts w:hint="eastAsia" w:ascii="宋体" w:hAnsi="宋体"/>
          <w:szCs w:val="21"/>
        </w:rPr>
        <w:t>单位：万元</w:t>
      </w:r>
    </w:p>
    <w:tbl>
      <w:tblPr>
        <w:tblStyle w:val="8"/>
        <w:tblW w:w="129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76"/>
        <w:gridCol w:w="1076"/>
        <w:gridCol w:w="1076"/>
        <w:gridCol w:w="1076"/>
        <w:gridCol w:w="1076"/>
        <w:gridCol w:w="1076"/>
        <w:gridCol w:w="1076"/>
        <w:gridCol w:w="1076"/>
        <w:gridCol w:w="1076"/>
        <w:gridCol w:w="1076"/>
        <w:gridCol w:w="1077"/>
        <w:gridCol w:w="10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134" w:type="dxa"/>
            <w:gridSpan w:val="1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szCs w:val="21"/>
              </w:rPr>
              <w:t>一般公共预算财政拨款</w:t>
            </w:r>
            <w:r>
              <w:rPr>
                <w:rFonts w:hint="eastAsia" w:ascii="宋体" w:hAnsi="宋体" w:cs="宋体"/>
                <w:kern w:val="0"/>
                <w:szCs w:val="21"/>
              </w:rPr>
              <w:t>“三公”经费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134" w:type="dxa"/>
            <w:gridSpan w:val="2"/>
            <w:vMerge w:val="restart"/>
            <w:tcBorders>
              <w:top w:val="single" w:color="auto" w:sz="6" w:space="0"/>
              <w:left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34" w:type="dxa"/>
            <w:gridSpan w:val="2"/>
            <w:vMerge w:val="restart"/>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因公出国</w:t>
            </w:r>
          </w:p>
          <w:p>
            <w:pPr>
              <w:widowControl/>
              <w:jc w:val="center"/>
              <w:rPr>
                <w:rFonts w:ascii="宋体" w:hAnsi="宋体" w:cs="宋体"/>
                <w:kern w:val="0"/>
                <w:szCs w:val="21"/>
              </w:rPr>
            </w:pPr>
            <w:r>
              <w:rPr>
                <w:rFonts w:hint="eastAsia" w:ascii="宋体" w:hAnsi="宋体" w:cs="宋体"/>
                <w:kern w:val="0"/>
                <w:szCs w:val="21"/>
              </w:rPr>
              <w:t>（境）费</w:t>
            </w:r>
          </w:p>
        </w:tc>
        <w:tc>
          <w:tcPr>
            <w:tcW w:w="1134" w:type="dxa"/>
            <w:gridSpan w:val="6"/>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公务用车购置及运行维护费</w:t>
            </w:r>
          </w:p>
        </w:tc>
        <w:tc>
          <w:tcPr>
            <w:tcW w:w="1134" w:type="dxa"/>
            <w:gridSpan w:val="2"/>
            <w:vMerge w:val="restart"/>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134" w:type="dxa"/>
            <w:gridSpan w:val="2"/>
            <w:vMerge w:val="continue"/>
            <w:tcBorders>
              <w:top w:val="single" w:color="auto" w:sz="6" w:space="0"/>
              <w:left w:val="single" w:color="auto" w:sz="6" w:space="0"/>
              <w:bottom w:val="single" w:color="auto" w:sz="6" w:space="0"/>
            </w:tcBorders>
            <w:vAlign w:val="center"/>
          </w:tcPr>
          <w:p>
            <w:pPr>
              <w:widowControl/>
              <w:jc w:val="left"/>
              <w:rPr>
                <w:rFonts w:ascii="宋体" w:hAnsi="宋体" w:cs="宋体"/>
                <w:kern w:val="0"/>
                <w:szCs w:val="21"/>
              </w:rPr>
            </w:pPr>
          </w:p>
        </w:tc>
        <w:tc>
          <w:tcPr>
            <w:tcW w:w="1134" w:type="dxa"/>
            <w:gridSpan w:val="2"/>
            <w:vMerge w:val="continue"/>
            <w:tcBorders>
              <w:top w:val="single" w:color="auto" w:sz="6" w:space="0"/>
              <w:bottom w:val="single" w:color="auto" w:sz="6" w:space="0"/>
            </w:tcBorders>
            <w:vAlign w:val="center"/>
          </w:tcPr>
          <w:p>
            <w:pPr>
              <w:widowControl/>
              <w:jc w:val="left"/>
              <w:rPr>
                <w:rFonts w:ascii="宋体" w:hAnsi="宋体" w:cs="宋体"/>
                <w:kern w:val="0"/>
                <w:szCs w:val="21"/>
              </w:rPr>
            </w:pPr>
          </w:p>
        </w:tc>
        <w:tc>
          <w:tcPr>
            <w:tcW w:w="1134" w:type="dxa"/>
            <w:gridSpan w:val="2"/>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34" w:type="dxa"/>
            <w:gridSpan w:val="2"/>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1134" w:type="dxa"/>
            <w:gridSpan w:val="2"/>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运行维护费</w:t>
            </w:r>
          </w:p>
        </w:tc>
        <w:tc>
          <w:tcPr>
            <w:tcW w:w="1134" w:type="dxa"/>
            <w:gridSpan w:val="2"/>
            <w:vMerge w:val="continue"/>
            <w:tcBorders>
              <w:top w:val="single" w:color="auto" w:sz="6" w:space="0"/>
              <w:bottom w:val="single" w:color="auto" w:sz="6" w:space="0"/>
            </w:tcBorders>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1134"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134"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134"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134"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134"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134"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134"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134"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134"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134"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134"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134"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134" w:type="dxa"/>
            <w:tcBorders>
              <w:top w:val="single" w:color="auto" w:sz="6" w:space="0"/>
              <w:left w:val="single" w:color="auto" w:sz="6" w:space="0"/>
              <w:bottom w:val="single" w:color="auto" w:sz="6" w:space="0"/>
              <w:right w:val="single" w:color="auto" w:sz="4" w:space="0"/>
            </w:tcBorders>
            <w:vAlign w:val="center"/>
          </w:tcPr>
          <w:p>
            <w:pPr>
              <w:widowControl/>
              <w:jc w:val="right"/>
              <w:rPr>
                <w:rFonts w:ascii="宋体" w:hAnsi="宋体" w:cs="宋体"/>
                <w:kern w:val="0"/>
                <w:szCs w:val="21"/>
              </w:rPr>
            </w:pPr>
          </w:p>
        </w:tc>
        <w:tc>
          <w:tcPr>
            <w:tcW w:w="1134" w:type="dxa"/>
            <w:tcBorders>
              <w:top w:val="single" w:color="auto" w:sz="6" w:space="0"/>
              <w:left w:val="single" w:color="auto" w:sz="4" w:space="0"/>
              <w:bottom w:val="single" w:color="auto" w:sz="6" w:space="0"/>
            </w:tcBorders>
            <w:vAlign w:val="center"/>
          </w:tcPr>
          <w:p>
            <w:pPr>
              <w:widowControl/>
              <w:jc w:val="right"/>
              <w:rPr>
                <w:rFonts w:ascii="宋体" w:hAnsi="宋体" w:cs="宋体"/>
                <w:kern w:val="0"/>
                <w:szCs w:val="21"/>
              </w:rPr>
            </w:pPr>
          </w:p>
        </w:tc>
        <w:tc>
          <w:tcPr>
            <w:tcW w:w="1134" w:type="dxa"/>
            <w:tcBorders>
              <w:top w:val="single" w:color="auto" w:sz="6" w:space="0"/>
              <w:bottom w:val="single" w:color="auto" w:sz="6" w:space="0"/>
              <w:right w:val="single" w:color="auto" w:sz="4" w:space="0"/>
            </w:tcBorders>
            <w:vAlign w:val="center"/>
          </w:tcPr>
          <w:p>
            <w:pPr>
              <w:widowControl/>
              <w:jc w:val="right"/>
              <w:rPr>
                <w:rFonts w:ascii="宋体" w:hAnsi="宋体" w:cs="宋体"/>
                <w:kern w:val="0"/>
                <w:szCs w:val="21"/>
              </w:rPr>
            </w:pPr>
          </w:p>
        </w:tc>
        <w:tc>
          <w:tcPr>
            <w:tcW w:w="1134" w:type="dxa"/>
            <w:tcBorders>
              <w:top w:val="single" w:color="auto" w:sz="6" w:space="0"/>
              <w:left w:val="single" w:color="auto" w:sz="4" w:space="0"/>
              <w:bottom w:val="single" w:color="auto" w:sz="6" w:space="0"/>
            </w:tcBorders>
            <w:vAlign w:val="center"/>
          </w:tcPr>
          <w:p>
            <w:pPr>
              <w:widowControl/>
              <w:jc w:val="right"/>
              <w:rPr>
                <w:rFonts w:ascii="宋体" w:hAnsi="宋体" w:cs="宋体"/>
                <w:kern w:val="0"/>
                <w:szCs w:val="21"/>
              </w:rPr>
            </w:pPr>
          </w:p>
        </w:tc>
        <w:tc>
          <w:tcPr>
            <w:tcW w:w="1134" w:type="dxa"/>
            <w:tcBorders>
              <w:top w:val="single" w:color="auto" w:sz="6" w:space="0"/>
              <w:bottom w:val="single" w:color="auto" w:sz="6" w:space="0"/>
              <w:right w:val="single" w:color="auto" w:sz="4" w:space="0"/>
            </w:tcBorders>
            <w:vAlign w:val="center"/>
          </w:tcPr>
          <w:p>
            <w:pPr>
              <w:widowControl/>
              <w:jc w:val="right"/>
              <w:rPr>
                <w:rFonts w:ascii="宋体" w:hAnsi="宋体" w:cs="宋体"/>
                <w:kern w:val="0"/>
                <w:szCs w:val="21"/>
              </w:rPr>
            </w:pPr>
          </w:p>
        </w:tc>
        <w:tc>
          <w:tcPr>
            <w:tcW w:w="1134" w:type="dxa"/>
            <w:tcBorders>
              <w:top w:val="single" w:color="auto" w:sz="6" w:space="0"/>
              <w:left w:val="single" w:color="auto" w:sz="4" w:space="0"/>
              <w:bottom w:val="single" w:color="auto" w:sz="6" w:space="0"/>
            </w:tcBorders>
            <w:vAlign w:val="center"/>
          </w:tcPr>
          <w:p>
            <w:pPr>
              <w:widowControl/>
              <w:jc w:val="right"/>
              <w:rPr>
                <w:rFonts w:ascii="宋体" w:hAnsi="宋体" w:cs="宋体"/>
                <w:kern w:val="0"/>
                <w:szCs w:val="21"/>
              </w:rPr>
            </w:pPr>
          </w:p>
        </w:tc>
        <w:tc>
          <w:tcPr>
            <w:tcW w:w="1134" w:type="dxa"/>
            <w:tcBorders>
              <w:top w:val="single" w:color="auto" w:sz="6" w:space="0"/>
              <w:bottom w:val="single" w:color="auto" w:sz="6" w:space="0"/>
              <w:right w:val="single" w:color="auto" w:sz="4" w:space="0"/>
            </w:tcBorders>
            <w:vAlign w:val="center"/>
          </w:tcPr>
          <w:p>
            <w:pPr>
              <w:widowControl/>
              <w:jc w:val="right"/>
              <w:rPr>
                <w:rFonts w:ascii="宋体" w:hAnsi="宋体" w:cs="宋体"/>
                <w:kern w:val="0"/>
                <w:szCs w:val="21"/>
              </w:rPr>
            </w:pPr>
          </w:p>
        </w:tc>
        <w:tc>
          <w:tcPr>
            <w:tcW w:w="1134" w:type="dxa"/>
            <w:tcBorders>
              <w:top w:val="single" w:color="auto" w:sz="6" w:space="0"/>
              <w:left w:val="single" w:color="auto" w:sz="4" w:space="0"/>
              <w:bottom w:val="single" w:color="auto" w:sz="6" w:space="0"/>
            </w:tcBorders>
            <w:vAlign w:val="center"/>
          </w:tcPr>
          <w:p>
            <w:pPr>
              <w:widowControl/>
              <w:jc w:val="right"/>
              <w:rPr>
                <w:rFonts w:ascii="宋体" w:hAnsi="宋体" w:cs="宋体"/>
                <w:kern w:val="0"/>
                <w:szCs w:val="21"/>
              </w:rPr>
            </w:pPr>
          </w:p>
        </w:tc>
        <w:tc>
          <w:tcPr>
            <w:tcW w:w="1134" w:type="dxa"/>
            <w:tcBorders>
              <w:top w:val="single" w:color="auto" w:sz="6" w:space="0"/>
              <w:bottom w:val="single" w:color="auto" w:sz="6" w:space="0"/>
              <w:right w:val="single" w:color="auto" w:sz="4" w:space="0"/>
            </w:tcBorders>
            <w:vAlign w:val="center"/>
          </w:tcPr>
          <w:p>
            <w:pPr>
              <w:widowControl/>
              <w:jc w:val="right"/>
              <w:rPr>
                <w:rFonts w:ascii="宋体" w:hAnsi="宋体" w:cs="宋体"/>
                <w:kern w:val="0"/>
                <w:szCs w:val="21"/>
              </w:rPr>
            </w:pPr>
          </w:p>
        </w:tc>
        <w:tc>
          <w:tcPr>
            <w:tcW w:w="1134" w:type="dxa"/>
            <w:tcBorders>
              <w:top w:val="single" w:color="auto" w:sz="6" w:space="0"/>
              <w:left w:val="single" w:color="auto" w:sz="4" w:space="0"/>
              <w:bottom w:val="single" w:color="auto" w:sz="6" w:space="0"/>
            </w:tcBorders>
            <w:vAlign w:val="center"/>
          </w:tcPr>
          <w:p>
            <w:pPr>
              <w:widowControl/>
              <w:jc w:val="right"/>
              <w:rPr>
                <w:rFonts w:ascii="宋体" w:hAnsi="宋体" w:cs="宋体"/>
                <w:kern w:val="0"/>
                <w:szCs w:val="21"/>
              </w:rPr>
            </w:pPr>
          </w:p>
        </w:tc>
        <w:tc>
          <w:tcPr>
            <w:tcW w:w="1134" w:type="dxa"/>
            <w:tcBorders>
              <w:top w:val="single" w:color="auto" w:sz="6" w:space="0"/>
              <w:bottom w:val="single" w:color="auto" w:sz="6" w:space="0"/>
              <w:right w:val="single" w:color="auto" w:sz="4" w:space="0"/>
            </w:tcBorders>
            <w:vAlign w:val="center"/>
          </w:tcPr>
          <w:p>
            <w:pPr>
              <w:widowControl/>
              <w:jc w:val="right"/>
              <w:rPr>
                <w:rFonts w:ascii="宋体" w:hAnsi="宋体" w:cs="宋体"/>
                <w:kern w:val="0"/>
                <w:szCs w:val="21"/>
              </w:rPr>
            </w:pPr>
          </w:p>
        </w:tc>
        <w:tc>
          <w:tcPr>
            <w:tcW w:w="1134" w:type="dxa"/>
            <w:tcBorders>
              <w:top w:val="single" w:color="auto" w:sz="6" w:space="0"/>
              <w:left w:val="single" w:color="auto" w:sz="4" w:space="0"/>
              <w:bottom w:val="single" w:color="auto" w:sz="6" w:space="0"/>
            </w:tcBorders>
            <w:vAlign w:val="center"/>
          </w:tcPr>
          <w:p>
            <w:pPr>
              <w:widowControl/>
              <w:jc w:val="right"/>
              <w:rPr>
                <w:rFonts w:ascii="宋体" w:hAnsi="宋体" w:cs="宋体"/>
                <w:kern w:val="0"/>
                <w:szCs w:val="21"/>
              </w:rPr>
            </w:pPr>
          </w:p>
        </w:tc>
      </w:tr>
    </w:tbl>
    <w:p>
      <w:pPr>
        <w:autoSpaceDE w:val="0"/>
        <w:autoSpaceDN w:val="0"/>
        <w:adjustRightInd w:val="0"/>
        <w:rPr>
          <w:rFonts w:ascii="宋体" w:hAnsi="宋体"/>
          <w:color w:val="FF0000"/>
          <w:szCs w:val="21"/>
        </w:rPr>
      </w:pPr>
      <w:r>
        <w:rPr>
          <w:rFonts w:hint="eastAsia" w:ascii="宋体" w:hAnsi="宋体"/>
          <w:color w:val="FF0000"/>
          <w:szCs w:val="21"/>
        </w:rPr>
        <w:t>注：本表反映单位本年度“三公”经费支出预决算情况。</w:t>
      </w:r>
    </w:p>
    <w:p>
      <w:pPr>
        <w:autoSpaceDE w:val="0"/>
        <w:autoSpaceDN w:val="0"/>
        <w:adjustRightInd w:val="0"/>
        <w:rPr>
          <w:rFonts w:ascii="宋体" w:hAnsi="宋体"/>
          <w:color w:val="FF0000"/>
          <w:szCs w:val="21"/>
        </w:rPr>
        <w:sectPr>
          <w:pgSz w:w="16838" w:h="11906" w:orient="landscape"/>
          <w:pgMar w:top="1797" w:right="1440" w:bottom="1797" w:left="1440" w:header="851" w:footer="992" w:gutter="0"/>
          <w:cols w:space="425" w:num="1"/>
          <w:docGrid w:linePitch="312" w:charSpace="0"/>
        </w:sectPr>
      </w:pPr>
      <w:r>
        <w:rPr>
          <w:rFonts w:hint="eastAsia" w:ascii="宋体" w:hAnsi="宋体"/>
          <w:szCs w:val="21"/>
        </w:rPr>
        <w:t>上海市松江区九亭镇住房保障和房屋管理事务所本年度没有“三公”经费,故本表无数据。</w:t>
      </w:r>
    </w:p>
    <w:p>
      <w:pPr>
        <w:autoSpaceDE w:val="0"/>
        <w:autoSpaceDN w:val="0"/>
        <w:adjustRightInd w:val="0"/>
        <w:jc w:val="center"/>
        <w:outlineLvl w:val="0"/>
        <w:rPr>
          <w:rFonts w:ascii="宋体" w:hAnsi="宋体"/>
          <w:szCs w:val="21"/>
        </w:rPr>
      </w:pPr>
      <w:r>
        <w:rPr>
          <w:rFonts w:hint="eastAsia" w:ascii="宋体" w:hAnsi="宋体"/>
          <w:szCs w:val="21"/>
        </w:rPr>
        <w:t>政府性基金预算财政拨款收入支出决算表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160"/>
        <w:gridCol w:w="1440"/>
        <w:gridCol w:w="1620"/>
        <w:gridCol w:w="1620"/>
        <w:gridCol w:w="1416"/>
        <w:gridCol w:w="164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70" w:type="dxa"/>
            <w:gridSpan w:val="2"/>
            <w:vAlign w:val="center"/>
          </w:tcPr>
          <w:p>
            <w:pPr>
              <w:widowControl/>
              <w:jc w:val="center"/>
              <w:rPr>
                <w:rFonts w:ascii="宋体" w:hAnsi="宋体"/>
                <w:szCs w:val="21"/>
              </w:rPr>
            </w:pPr>
            <w:r>
              <w:rPr>
                <w:rFonts w:hint="eastAsia" w:ascii="宋体" w:hAnsi="宋体"/>
                <w:szCs w:val="21"/>
              </w:rPr>
              <w:t>项目</w:t>
            </w:r>
          </w:p>
        </w:tc>
        <w:tc>
          <w:tcPr>
            <w:tcW w:w="1440" w:type="dxa"/>
            <w:vMerge w:val="restart"/>
            <w:vAlign w:val="center"/>
          </w:tcPr>
          <w:p>
            <w:pPr>
              <w:widowControl/>
              <w:jc w:val="center"/>
              <w:rPr>
                <w:rFonts w:ascii="宋体" w:hAnsi="宋体"/>
                <w:szCs w:val="21"/>
              </w:rPr>
            </w:pPr>
            <w:r>
              <w:rPr>
                <w:rFonts w:hint="eastAsia" w:ascii="宋体" w:hAnsi="宋体"/>
                <w:szCs w:val="21"/>
              </w:rPr>
              <w:t>年初结转和结余</w:t>
            </w:r>
          </w:p>
        </w:tc>
        <w:tc>
          <w:tcPr>
            <w:tcW w:w="1620" w:type="dxa"/>
            <w:vMerge w:val="restart"/>
            <w:vAlign w:val="center"/>
          </w:tcPr>
          <w:p>
            <w:pPr>
              <w:widowControl/>
              <w:jc w:val="center"/>
              <w:rPr>
                <w:rFonts w:ascii="宋体" w:hAnsi="宋体"/>
                <w:szCs w:val="21"/>
              </w:rPr>
            </w:pPr>
            <w:r>
              <w:rPr>
                <w:rFonts w:hint="eastAsia" w:ascii="宋体" w:hAnsi="宋体"/>
                <w:szCs w:val="21"/>
              </w:rPr>
              <w:t>本年收入</w:t>
            </w:r>
          </w:p>
        </w:tc>
        <w:tc>
          <w:tcPr>
            <w:tcW w:w="4680" w:type="dxa"/>
            <w:gridSpan w:val="3"/>
            <w:vMerge w:val="restart"/>
            <w:vAlign w:val="center"/>
          </w:tcPr>
          <w:p>
            <w:pPr>
              <w:jc w:val="center"/>
              <w:rPr>
                <w:rFonts w:ascii="宋体" w:hAnsi="宋体"/>
                <w:szCs w:val="21"/>
              </w:rPr>
            </w:pPr>
            <w:r>
              <w:rPr>
                <w:rFonts w:hint="eastAsia" w:ascii="宋体" w:hAnsi="宋体"/>
                <w:szCs w:val="21"/>
              </w:rPr>
              <w:t>本年支出</w:t>
            </w:r>
          </w:p>
        </w:tc>
        <w:tc>
          <w:tcPr>
            <w:tcW w:w="1980" w:type="dxa"/>
            <w:vMerge w:val="restart"/>
            <w:shd w:val="clear" w:color="auto" w:fill="auto"/>
            <w:vAlign w:val="center"/>
          </w:tcPr>
          <w:p>
            <w:pPr>
              <w:widowControl/>
              <w:jc w:val="center"/>
              <w:rPr>
                <w:rFonts w:ascii="宋体" w:hAnsi="宋体"/>
                <w:szCs w:val="21"/>
              </w:rPr>
            </w:pPr>
            <w:r>
              <w:rPr>
                <w:rFonts w:hint="eastAsia" w:ascii="宋体" w:hAnsi="宋体"/>
                <w:szCs w:val="21"/>
              </w:rPr>
              <w:t>年末结转和</w:t>
            </w:r>
          </w:p>
          <w:p>
            <w:pPr>
              <w:widowControl/>
              <w:jc w:val="center"/>
              <w:rPr>
                <w:rFonts w:ascii="宋体" w:hAnsi="宋体"/>
                <w:szCs w:val="21"/>
              </w:rPr>
            </w:pPr>
            <w:r>
              <w:rPr>
                <w:rFonts w:hint="eastAsia" w:ascii="宋体" w:hAnsi="宋体"/>
                <w:szCs w:val="21"/>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10" w:type="dxa"/>
            <w:vAlign w:val="center"/>
          </w:tcPr>
          <w:p>
            <w:pPr>
              <w:widowControl/>
              <w:jc w:val="center"/>
              <w:rPr>
                <w:rFonts w:ascii="宋体" w:hAnsi="宋体"/>
                <w:szCs w:val="21"/>
              </w:rPr>
            </w:pPr>
            <w:r>
              <w:rPr>
                <w:rFonts w:hint="eastAsia" w:ascii="宋体" w:hAnsi="宋体"/>
                <w:szCs w:val="21"/>
              </w:rPr>
              <w:t>功能分类科目编码</w:t>
            </w:r>
          </w:p>
        </w:tc>
        <w:tc>
          <w:tcPr>
            <w:tcW w:w="2160" w:type="dxa"/>
            <w:vAlign w:val="center"/>
          </w:tcPr>
          <w:p>
            <w:pPr>
              <w:widowControl/>
              <w:jc w:val="center"/>
              <w:rPr>
                <w:rFonts w:ascii="宋体" w:hAnsi="宋体"/>
                <w:szCs w:val="21"/>
              </w:rPr>
            </w:pPr>
            <w:r>
              <w:rPr>
                <w:rFonts w:hint="eastAsia" w:ascii="宋体" w:hAnsi="宋体"/>
                <w:szCs w:val="21"/>
              </w:rPr>
              <w:t>科目名称</w:t>
            </w:r>
          </w:p>
        </w:tc>
        <w:tc>
          <w:tcPr>
            <w:tcW w:w="1440" w:type="dxa"/>
            <w:vMerge w:val="continue"/>
            <w:vAlign w:val="center"/>
          </w:tcPr>
          <w:p>
            <w:pPr>
              <w:widowControl/>
              <w:jc w:val="center"/>
              <w:rPr>
                <w:rFonts w:ascii="宋体" w:hAnsi="宋体"/>
                <w:szCs w:val="21"/>
              </w:rPr>
            </w:pPr>
          </w:p>
        </w:tc>
        <w:tc>
          <w:tcPr>
            <w:tcW w:w="1620" w:type="dxa"/>
            <w:vMerge w:val="continue"/>
            <w:vAlign w:val="center"/>
          </w:tcPr>
          <w:p>
            <w:pPr>
              <w:widowControl/>
              <w:jc w:val="center"/>
              <w:rPr>
                <w:rFonts w:ascii="宋体" w:hAnsi="宋体"/>
                <w:szCs w:val="21"/>
              </w:rPr>
            </w:pPr>
          </w:p>
        </w:tc>
        <w:tc>
          <w:tcPr>
            <w:tcW w:w="4680" w:type="dxa"/>
            <w:gridSpan w:val="3"/>
            <w:vMerge w:val="continue"/>
            <w:vAlign w:val="center"/>
          </w:tcPr>
          <w:p>
            <w:pPr>
              <w:widowControl/>
              <w:jc w:val="center"/>
              <w:rPr>
                <w:rFonts w:ascii="宋体" w:hAnsi="宋体"/>
                <w:szCs w:val="21"/>
              </w:rPr>
            </w:pPr>
          </w:p>
        </w:tc>
        <w:tc>
          <w:tcPr>
            <w:tcW w:w="1980" w:type="dxa"/>
            <w:vMerge w:val="continue"/>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70" w:type="dxa"/>
            <w:gridSpan w:val="2"/>
            <w:vAlign w:val="center"/>
          </w:tcPr>
          <w:p>
            <w:pPr>
              <w:jc w:val="center"/>
              <w:rPr>
                <w:rFonts w:ascii="宋体" w:hAnsi="宋体" w:cs="宋体"/>
                <w:szCs w:val="21"/>
              </w:rPr>
            </w:pPr>
            <w:r>
              <w:rPr>
                <w:rFonts w:hint="eastAsia" w:ascii="宋体" w:hAnsi="宋体" w:cs="宋体"/>
                <w:szCs w:val="21"/>
              </w:rPr>
              <w:t>合计</w:t>
            </w:r>
          </w:p>
        </w:tc>
        <w:tc>
          <w:tcPr>
            <w:tcW w:w="144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r>
              <w:rPr>
                <w:rFonts w:hint="eastAsia" w:ascii="宋体" w:hAnsi="宋体"/>
                <w:szCs w:val="21"/>
              </w:rPr>
              <w:t>小计</w:t>
            </w:r>
          </w:p>
        </w:tc>
        <w:tc>
          <w:tcPr>
            <w:tcW w:w="1416" w:type="dxa"/>
            <w:vAlign w:val="center"/>
          </w:tcPr>
          <w:p>
            <w:pPr>
              <w:widowControl/>
              <w:jc w:val="center"/>
              <w:rPr>
                <w:rFonts w:ascii="宋体" w:hAnsi="宋体"/>
                <w:szCs w:val="21"/>
              </w:rPr>
            </w:pPr>
            <w:r>
              <w:rPr>
                <w:rFonts w:hint="eastAsia" w:ascii="宋体" w:hAnsi="宋体"/>
                <w:szCs w:val="21"/>
              </w:rPr>
              <w:t>基本支出</w:t>
            </w:r>
          </w:p>
        </w:tc>
        <w:tc>
          <w:tcPr>
            <w:tcW w:w="1644" w:type="dxa"/>
            <w:vAlign w:val="center"/>
          </w:tcPr>
          <w:p>
            <w:pPr>
              <w:widowControl/>
              <w:jc w:val="center"/>
              <w:rPr>
                <w:rFonts w:ascii="宋体" w:hAnsi="宋体"/>
                <w:szCs w:val="21"/>
              </w:rPr>
            </w:pPr>
            <w:r>
              <w:rPr>
                <w:rFonts w:hint="eastAsia" w:ascii="宋体" w:hAnsi="宋体"/>
                <w:szCs w:val="21"/>
              </w:rPr>
              <w:t>项目支出</w:t>
            </w:r>
          </w:p>
        </w:tc>
        <w:tc>
          <w:tcPr>
            <w:tcW w:w="198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0" w:type="dxa"/>
            <w:vAlign w:val="center"/>
          </w:tcPr>
          <w:p>
            <w:pPr>
              <w:jc w:val="center"/>
              <w:rPr>
                <w:rFonts w:ascii="宋体" w:hAnsi="宋体" w:cs="宋体"/>
                <w:szCs w:val="21"/>
              </w:rPr>
            </w:pPr>
          </w:p>
        </w:tc>
        <w:tc>
          <w:tcPr>
            <w:tcW w:w="2160" w:type="dxa"/>
            <w:vAlign w:val="center"/>
          </w:tcPr>
          <w:p>
            <w:pPr>
              <w:jc w:val="center"/>
              <w:rPr>
                <w:rFonts w:ascii="宋体" w:hAnsi="宋体" w:cs="宋体"/>
                <w:szCs w:val="21"/>
              </w:rPr>
            </w:pPr>
          </w:p>
        </w:tc>
        <w:tc>
          <w:tcPr>
            <w:tcW w:w="144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p>
        </w:tc>
        <w:tc>
          <w:tcPr>
            <w:tcW w:w="1416" w:type="dxa"/>
            <w:vAlign w:val="center"/>
          </w:tcPr>
          <w:p>
            <w:pPr>
              <w:widowControl/>
              <w:jc w:val="center"/>
              <w:rPr>
                <w:rFonts w:ascii="宋体" w:hAnsi="宋体"/>
                <w:szCs w:val="21"/>
              </w:rPr>
            </w:pPr>
          </w:p>
        </w:tc>
        <w:tc>
          <w:tcPr>
            <w:tcW w:w="1644" w:type="dxa"/>
            <w:vAlign w:val="center"/>
          </w:tcPr>
          <w:p>
            <w:pPr>
              <w:widowControl/>
              <w:jc w:val="center"/>
              <w:rPr>
                <w:rFonts w:ascii="宋体" w:hAnsi="宋体"/>
                <w:szCs w:val="21"/>
              </w:rPr>
            </w:pPr>
          </w:p>
        </w:tc>
        <w:tc>
          <w:tcPr>
            <w:tcW w:w="198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0" w:type="dxa"/>
            <w:vAlign w:val="center"/>
          </w:tcPr>
          <w:p>
            <w:pPr>
              <w:jc w:val="center"/>
              <w:rPr>
                <w:rFonts w:ascii="宋体" w:hAnsi="宋体" w:cs="宋体"/>
                <w:szCs w:val="21"/>
              </w:rPr>
            </w:pPr>
          </w:p>
        </w:tc>
        <w:tc>
          <w:tcPr>
            <w:tcW w:w="2160" w:type="dxa"/>
            <w:vAlign w:val="center"/>
          </w:tcPr>
          <w:p>
            <w:pPr>
              <w:jc w:val="center"/>
              <w:rPr>
                <w:rFonts w:ascii="宋体" w:hAnsi="宋体" w:cs="宋体"/>
                <w:szCs w:val="21"/>
              </w:rPr>
            </w:pPr>
          </w:p>
        </w:tc>
        <w:tc>
          <w:tcPr>
            <w:tcW w:w="144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p>
        </w:tc>
        <w:tc>
          <w:tcPr>
            <w:tcW w:w="1416" w:type="dxa"/>
            <w:vAlign w:val="center"/>
          </w:tcPr>
          <w:p>
            <w:pPr>
              <w:widowControl/>
              <w:jc w:val="center"/>
              <w:rPr>
                <w:rFonts w:ascii="宋体" w:hAnsi="宋体"/>
                <w:szCs w:val="21"/>
              </w:rPr>
            </w:pPr>
          </w:p>
        </w:tc>
        <w:tc>
          <w:tcPr>
            <w:tcW w:w="1644" w:type="dxa"/>
            <w:vAlign w:val="center"/>
          </w:tcPr>
          <w:p>
            <w:pPr>
              <w:widowControl/>
              <w:jc w:val="center"/>
              <w:rPr>
                <w:rFonts w:ascii="宋体" w:hAnsi="宋体"/>
                <w:szCs w:val="21"/>
              </w:rPr>
            </w:pPr>
          </w:p>
        </w:tc>
        <w:tc>
          <w:tcPr>
            <w:tcW w:w="198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0" w:type="dxa"/>
            <w:vAlign w:val="center"/>
          </w:tcPr>
          <w:p>
            <w:pPr>
              <w:jc w:val="center"/>
              <w:rPr>
                <w:rFonts w:ascii="宋体" w:hAnsi="宋体" w:cs="宋体"/>
                <w:szCs w:val="21"/>
              </w:rPr>
            </w:pPr>
          </w:p>
        </w:tc>
        <w:tc>
          <w:tcPr>
            <w:tcW w:w="2160" w:type="dxa"/>
            <w:vAlign w:val="center"/>
          </w:tcPr>
          <w:p>
            <w:pPr>
              <w:jc w:val="center"/>
              <w:rPr>
                <w:rFonts w:ascii="宋体" w:hAnsi="宋体" w:cs="宋体"/>
                <w:szCs w:val="21"/>
              </w:rPr>
            </w:pPr>
          </w:p>
        </w:tc>
        <w:tc>
          <w:tcPr>
            <w:tcW w:w="144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p>
        </w:tc>
        <w:tc>
          <w:tcPr>
            <w:tcW w:w="1620" w:type="dxa"/>
            <w:vAlign w:val="center"/>
          </w:tcPr>
          <w:p>
            <w:pPr>
              <w:widowControl/>
              <w:jc w:val="center"/>
              <w:rPr>
                <w:rFonts w:ascii="宋体" w:hAnsi="宋体"/>
                <w:szCs w:val="21"/>
              </w:rPr>
            </w:pPr>
          </w:p>
        </w:tc>
        <w:tc>
          <w:tcPr>
            <w:tcW w:w="1416" w:type="dxa"/>
            <w:vAlign w:val="center"/>
          </w:tcPr>
          <w:p>
            <w:pPr>
              <w:widowControl/>
              <w:jc w:val="center"/>
              <w:rPr>
                <w:rFonts w:ascii="宋体" w:hAnsi="宋体"/>
                <w:szCs w:val="21"/>
              </w:rPr>
            </w:pPr>
          </w:p>
        </w:tc>
        <w:tc>
          <w:tcPr>
            <w:tcW w:w="1644" w:type="dxa"/>
            <w:vAlign w:val="center"/>
          </w:tcPr>
          <w:p>
            <w:pPr>
              <w:widowControl/>
              <w:jc w:val="center"/>
              <w:rPr>
                <w:rFonts w:ascii="宋体" w:hAnsi="宋体"/>
                <w:szCs w:val="21"/>
              </w:rPr>
            </w:pPr>
          </w:p>
        </w:tc>
        <w:tc>
          <w:tcPr>
            <w:tcW w:w="198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70" w:type="dxa"/>
            <w:gridSpan w:val="2"/>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440" w:type="dxa"/>
            <w:vAlign w:val="center"/>
          </w:tcPr>
          <w:p>
            <w:pPr>
              <w:widowControl/>
              <w:jc w:val="center"/>
              <w:rPr>
                <w:rFonts w:ascii="宋体" w:hAnsi="宋体" w:cs="宋体"/>
                <w:kern w:val="0"/>
                <w:szCs w:val="21"/>
              </w:rPr>
            </w:pPr>
          </w:p>
        </w:tc>
        <w:tc>
          <w:tcPr>
            <w:tcW w:w="1620" w:type="dxa"/>
            <w:vAlign w:val="center"/>
          </w:tcPr>
          <w:p>
            <w:pPr>
              <w:widowControl/>
              <w:jc w:val="center"/>
              <w:rPr>
                <w:rFonts w:ascii="宋体" w:hAnsi="宋体" w:cs="宋体"/>
                <w:kern w:val="0"/>
                <w:szCs w:val="21"/>
              </w:rPr>
            </w:pPr>
          </w:p>
        </w:tc>
        <w:tc>
          <w:tcPr>
            <w:tcW w:w="1620" w:type="dxa"/>
            <w:vAlign w:val="center"/>
          </w:tcPr>
          <w:p>
            <w:pPr>
              <w:widowControl/>
              <w:jc w:val="center"/>
              <w:rPr>
                <w:rFonts w:ascii="宋体" w:hAnsi="宋体" w:cs="宋体"/>
                <w:kern w:val="0"/>
                <w:szCs w:val="21"/>
              </w:rPr>
            </w:pPr>
          </w:p>
        </w:tc>
        <w:tc>
          <w:tcPr>
            <w:tcW w:w="1416" w:type="dxa"/>
            <w:vAlign w:val="center"/>
          </w:tcPr>
          <w:p>
            <w:pPr>
              <w:widowControl/>
              <w:jc w:val="center"/>
              <w:rPr>
                <w:rFonts w:ascii="宋体" w:hAnsi="宋体" w:cs="宋体"/>
                <w:kern w:val="0"/>
                <w:szCs w:val="21"/>
              </w:rPr>
            </w:pPr>
          </w:p>
        </w:tc>
        <w:tc>
          <w:tcPr>
            <w:tcW w:w="1644" w:type="dxa"/>
            <w:vAlign w:val="center"/>
          </w:tcPr>
          <w:p>
            <w:pPr>
              <w:widowControl/>
              <w:jc w:val="center"/>
              <w:rPr>
                <w:rFonts w:ascii="宋体" w:hAnsi="宋体" w:cs="宋体"/>
                <w:kern w:val="0"/>
                <w:szCs w:val="21"/>
              </w:rPr>
            </w:pPr>
          </w:p>
        </w:tc>
        <w:tc>
          <w:tcPr>
            <w:tcW w:w="1980" w:type="dxa"/>
            <w:shd w:val="clear" w:color="auto" w:fill="auto"/>
            <w:vAlign w:val="center"/>
          </w:tcPr>
          <w:p>
            <w:pPr>
              <w:widowControl/>
              <w:jc w:val="center"/>
              <w:rPr>
                <w:rFonts w:ascii="宋体" w:hAnsi="宋体" w:cs="宋体"/>
                <w:kern w:val="0"/>
                <w:szCs w:val="21"/>
              </w:rPr>
            </w:pPr>
          </w:p>
        </w:tc>
      </w:tr>
    </w:tbl>
    <w:p>
      <w:pPr>
        <w:rPr>
          <w:rFonts w:ascii="宋体" w:hAnsi="宋体"/>
          <w:color w:val="FF0000"/>
          <w:szCs w:val="21"/>
        </w:rPr>
      </w:pPr>
      <w:r>
        <w:rPr>
          <w:rFonts w:hint="eastAsia" w:ascii="宋体" w:hAnsi="宋体"/>
          <w:color w:val="FF0000"/>
          <w:szCs w:val="21"/>
        </w:rPr>
        <w:t>注：本表反映单位本年度政府性基金预算财政拨款收入支出及结转和结余情况。</w:t>
      </w:r>
    </w:p>
    <w:p>
      <w:pPr>
        <w:rPr>
          <w:rFonts w:ascii="宋体" w:hAnsi="宋体"/>
          <w:szCs w:val="21"/>
        </w:rPr>
      </w:pPr>
      <w:r>
        <w:rPr>
          <w:rFonts w:hint="eastAsia" w:ascii="宋体" w:hAnsi="宋体"/>
          <w:szCs w:val="21"/>
        </w:rPr>
        <w:t>说明：上海市松江区九亭镇住房保障和房屋管理事务所本年度没有政府性基金预算财政拨款收入和支出，故本表无数据。</w:t>
      </w:r>
    </w:p>
    <w:p>
      <w:pPr>
        <w:autoSpaceDE w:val="0"/>
        <w:autoSpaceDN w:val="0"/>
        <w:adjustRightInd w:val="0"/>
        <w:jc w:val="center"/>
        <w:outlineLvl w:val="0"/>
        <w:rPr>
          <w:rFonts w:ascii="宋体" w:hAnsi="宋体"/>
          <w:szCs w:val="21"/>
        </w:rPr>
      </w:pPr>
      <w:r>
        <w:rPr>
          <w:rFonts w:ascii="宋体" w:hAnsi="宋体"/>
          <w:szCs w:val="21"/>
        </w:rPr>
        <w:br w:type="page"/>
      </w:r>
      <w:r>
        <w:rPr>
          <w:rFonts w:hint="eastAsia" w:ascii="宋体" w:hAnsi="宋体"/>
          <w:szCs w:val="21"/>
        </w:rPr>
        <w:t>国有资本经营预算财政拨款收入支出决算表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160"/>
        <w:gridCol w:w="2136"/>
        <w:gridCol w:w="2328"/>
        <w:gridCol w:w="2352"/>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70" w:type="dxa"/>
            <w:gridSpan w:val="2"/>
            <w:vAlign w:val="center"/>
          </w:tcPr>
          <w:p>
            <w:pPr>
              <w:widowControl/>
              <w:jc w:val="center"/>
              <w:rPr>
                <w:rFonts w:ascii="宋体" w:hAnsi="宋体"/>
                <w:szCs w:val="21"/>
              </w:rPr>
            </w:pPr>
            <w:r>
              <w:rPr>
                <w:rFonts w:hint="eastAsia" w:ascii="宋体" w:hAnsi="宋体"/>
                <w:szCs w:val="21"/>
              </w:rPr>
              <w:t>项目</w:t>
            </w:r>
          </w:p>
        </w:tc>
        <w:tc>
          <w:tcPr>
            <w:tcW w:w="2136" w:type="dxa"/>
            <w:vMerge w:val="restart"/>
            <w:vAlign w:val="center"/>
          </w:tcPr>
          <w:p>
            <w:pPr>
              <w:widowControl/>
              <w:jc w:val="center"/>
              <w:rPr>
                <w:rFonts w:ascii="宋体" w:hAnsi="宋体"/>
                <w:szCs w:val="21"/>
              </w:rPr>
            </w:pPr>
            <w:r>
              <w:rPr>
                <w:rFonts w:hint="eastAsia" w:ascii="宋体" w:hAnsi="宋体"/>
                <w:szCs w:val="21"/>
              </w:rPr>
              <w:t>年初结转和结余</w:t>
            </w:r>
          </w:p>
        </w:tc>
        <w:tc>
          <w:tcPr>
            <w:tcW w:w="2328" w:type="dxa"/>
            <w:vMerge w:val="restart"/>
            <w:vAlign w:val="center"/>
          </w:tcPr>
          <w:p>
            <w:pPr>
              <w:widowControl/>
              <w:jc w:val="center"/>
              <w:rPr>
                <w:rFonts w:ascii="宋体" w:hAnsi="宋体"/>
                <w:szCs w:val="21"/>
              </w:rPr>
            </w:pPr>
            <w:r>
              <w:rPr>
                <w:rFonts w:hint="eastAsia" w:ascii="宋体" w:hAnsi="宋体"/>
                <w:szCs w:val="21"/>
              </w:rPr>
              <w:t>本年收入</w:t>
            </w:r>
          </w:p>
        </w:tc>
        <w:tc>
          <w:tcPr>
            <w:tcW w:w="2352" w:type="dxa"/>
            <w:vMerge w:val="restart"/>
            <w:vAlign w:val="center"/>
          </w:tcPr>
          <w:p>
            <w:pPr>
              <w:jc w:val="center"/>
              <w:rPr>
                <w:rFonts w:ascii="宋体" w:hAnsi="宋体"/>
                <w:szCs w:val="21"/>
              </w:rPr>
            </w:pPr>
            <w:r>
              <w:rPr>
                <w:rFonts w:hint="eastAsia" w:ascii="宋体" w:hAnsi="宋体"/>
                <w:szCs w:val="21"/>
              </w:rPr>
              <w:t>本年支出</w:t>
            </w:r>
          </w:p>
        </w:tc>
        <w:tc>
          <w:tcPr>
            <w:tcW w:w="2520" w:type="dxa"/>
            <w:vMerge w:val="restart"/>
            <w:shd w:val="clear" w:color="auto" w:fill="auto"/>
            <w:vAlign w:val="center"/>
          </w:tcPr>
          <w:p>
            <w:pPr>
              <w:widowControl/>
              <w:jc w:val="center"/>
              <w:rPr>
                <w:rFonts w:ascii="宋体" w:hAnsi="宋体"/>
                <w:szCs w:val="21"/>
              </w:rPr>
            </w:pPr>
            <w:r>
              <w:rPr>
                <w:rFonts w:hint="eastAsia" w:ascii="宋体" w:hAnsi="宋体"/>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10" w:type="dxa"/>
            <w:vAlign w:val="center"/>
          </w:tcPr>
          <w:p>
            <w:pPr>
              <w:widowControl/>
              <w:jc w:val="center"/>
              <w:rPr>
                <w:rFonts w:ascii="宋体" w:hAnsi="宋体"/>
                <w:szCs w:val="21"/>
              </w:rPr>
            </w:pPr>
            <w:r>
              <w:rPr>
                <w:rFonts w:hint="eastAsia" w:ascii="宋体" w:hAnsi="宋体"/>
                <w:szCs w:val="21"/>
              </w:rPr>
              <w:t>功能分类科目编码</w:t>
            </w:r>
          </w:p>
        </w:tc>
        <w:tc>
          <w:tcPr>
            <w:tcW w:w="2160" w:type="dxa"/>
            <w:vAlign w:val="center"/>
          </w:tcPr>
          <w:p>
            <w:pPr>
              <w:widowControl/>
              <w:jc w:val="center"/>
              <w:rPr>
                <w:rFonts w:ascii="宋体" w:hAnsi="宋体"/>
                <w:szCs w:val="21"/>
              </w:rPr>
            </w:pPr>
            <w:r>
              <w:rPr>
                <w:rFonts w:hint="eastAsia" w:ascii="宋体" w:hAnsi="宋体"/>
                <w:szCs w:val="21"/>
              </w:rPr>
              <w:t>科目名称</w:t>
            </w:r>
          </w:p>
        </w:tc>
        <w:tc>
          <w:tcPr>
            <w:tcW w:w="2136" w:type="dxa"/>
            <w:vMerge w:val="continue"/>
            <w:vAlign w:val="center"/>
          </w:tcPr>
          <w:p>
            <w:pPr>
              <w:widowControl/>
              <w:jc w:val="center"/>
              <w:rPr>
                <w:rFonts w:ascii="宋体" w:hAnsi="宋体"/>
                <w:szCs w:val="21"/>
              </w:rPr>
            </w:pPr>
          </w:p>
        </w:tc>
        <w:tc>
          <w:tcPr>
            <w:tcW w:w="2328" w:type="dxa"/>
            <w:vMerge w:val="continue"/>
            <w:vAlign w:val="center"/>
          </w:tcPr>
          <w:p>
            <w:pPr>
              <w:widowControl/>
              <w:jc w:val="center"/>
              <w:rPr>
                <w:rFonts w:ascii="宋体" w:hAnsi="宋体"/>
                <w:szCs w:val="21"/>
              </w:rPr>
            </w:pPr>
          </w:p>
        </w:tc>
        <w:tc>
          <w:tcPr>
            <w:tcW w:w="2352" w:type="dxa"/>
            <w:vMerge w:val="continue"/>
            <w:vAlign w:val="center"/>
          </w:tcPr>
          <w:p>
            <w:pPr>
              <w:widowControl/>
              <w:jc w:val="center"/>
              <w:rPr>
                <w:rFonts w:ascii="宋体" w:hAnsi="宋体"/>
                <w:szCs w:val="21"/>
              </w:rPr>
            </w:pPr>
          </w:p>
        </w:tc>
        <w:tc>
          <w:tcPr>
            <w:tcW w:w="2520" w:type="dxa"/>
            <w:vMerge w:val="continue"/>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70" w:type="dxa"/>
            <w:gridSpan w:val="2"/>
            <w:vAlign w:val="center"/>
          </w:tcPr>
          <w:p>
            <w:pPr>
              <w:jc w:val="center"/>
              <w:rPr>
                <w:rFonts w:ascii="宋体" w:hAnsi="宋体" w:cs="宋体"/>
                <w:szCs w:val="21"/>
              </w:rPr>
            </w:pPr>
            <w:r>
              <w:rPr>
                <w:rFonts w:hint="eastAsia" w:ascii="宋体" w:hAnsi="宋体" w:cs="宋体"/>
                <w:szCs w:val="21"/>
              </w:rPr>
              <w:t>合计</w:t>
            </w:r>
          </w:p>
        </w:tc>
        <w:tc>
          <w:tcPr>
            <w:tcW w:w="2136" w:type="dxa"/>
            <w:vAlign w:val="center"/>
          </w:tcPr>
          <w:p>
            <w:pPr>
              <w:widowControl/>
              <w:jc w:val="center"/>
              <w:rPr>
                <w:rFonts w:ascii="宋体" w:hAnsi="宋体"/>
                <w:szCs w:val="21"/>
              </w:rPr>
            </w:pPr>
          </w:p>
        </w:tc>
        <w:tc>
          <w:tcPr>
            <w:tcW w:w="2328" w:type="dxa"/>
            <w:vAlign w:val="center"/>
          </w:tcPr>
          <w:p>
            <w:pPr>
              <w:widowControl/>
              <w:jc w:val="center"/>
              <w:rPr>
                <w:rFonts w:ascii="宋体" w:hAnsi="宋体"/>
                <w:szCs w:val="21"/>
              </w:rPr>
            </w:pPr>
          </w:p>
        </w:tc>
        <w:tc>
          <w:tcPr>
            <w:tcW w:w="2352" w:type="dxa"/>
            <w:vAlign w:val="center"/>
          </w:tcPr>
          <w:p>
            <w:pPr>
              <w:widowControl/>
              <w:jc w:val="center"/>
              <w:rPr>
                <w:rFonts w:ascii="宋体" w:hAnsi="宋体"/>
                <w:szCs w:val="21"/>
              </w:rPr>
            </w:pPr>
          </w:p>
        </w:tc>
        <w:tc>
          <w:tcPr>
            <w:tcW w:w="252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0" w:type="dxa"/>
            <w:vAlign w:val="center"/>
          </w:tcPr>
          <w:p>
            <w:pPr>
              <w:jc w:val="center"/>
              <w:rPr>
                <w:rFonts w:ascii="宋体" w:hAnsi="宋体" w:cs="宋体"/>
                <w:szCs w:val="21"/>
              </w:rPr>
            </w:pPr>
          </w:p>
        </w:tc>
        <w:tc>
          <w:tcPr>
            <w:tcW w:w="2160" w:type="dxa"/>
            <w:vAlign w:val="center"/>
          </w:tcPr>
          <w:p>
            <w:pPr>
              <w:jc w:val="center"/>
              <w:rPr>
                <w:rFonts w:ascii="宋体" w:hAnsi="宋体" w:cs="宋体"/>
                <w:szCs w:val="21"/>
              </w:rPr>
            </w:pPr>
          </w:p>
        </w:tc>
        <w:tc>
          <w:tcPr>
            <w:tcW w:w="2136" w:type="dxa"/>
            <w:vAlign w:val="center"/>
          </w:tcPr>
          <w:p>
            <w:pPr>
              <w:widowControl/>
              <w:jc w:val="center"/>
              <w:rPr>
                <w:rFonts w:ascii="宋体" w:hAnsi="宋体"/>
                <w:szCs w:val="21"/>
              </w:rPr>
            </w:pPr>
          </w:p>
        </w:tc>
        <w:tc>
          <w:tcPr>
            <w:tcW w:w="2328" w:type="dxa"/>
            <w:vAlign w:val="center"/>
          </w:tcPr>
          <w:p>
            <w:pPr>
              <w:widowControl/>
              <w:jc w:val="center"/>
              <w:rPr>
                <w:rFonts w:ascii="宋体" w:hAnsi="宋体"/>
                <w:szCs w:val="21"/>
              </w:rPr>
            </w:pPr>
          </w:p>
        </w:tc>
        <w:tc>
          <w:tcPr>
            <w:tcW w:w="2352" w:type="dxa"/>
            <w:vAlign w:val="center"/>
          </w:tcPr>
          <w:p>
            <w:pPr>
              <w:widowControl/>
              <w:jc w:val="center"/>
              <w:rPr>
                <w:rFonts w:ascii="宋体" w:hAnsi="宋体"/>
                <w:szCs w:val="21"/>
              </w:rPr>
            </w:pPr>
          </w:p>
        </w:tc>
        <w:tc>
          <w:tcPr>
            <w:tcW w:w="252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0" w:type="dxa"/>
            <w:vAlign w:val="center"/>
          </w:tcPr>
          <w:p>
            <w:pPr>
              <w:jc w:val="center"/>
              <w:rPr>
                <w:rFonts w:ascii="宋体" w:hAnsi="宋体" w:cs="宋体"/>
                <w:szCs w:val="21"/>
              </w:rPr>
            </w:pPr>
          </w:p>
        </w:tc>
        <w:tc>
          <w:tcPr>
            <w:tcW w:w="2160" w:type="dxa"/>
            <w:vAlign w:val="center"/>
          </w:tcPr>
          <w:p>
            <w:pPr>
              <w:jc w:val="center"/>
              <w:rPr>
                <w:rFonts w:ascii="宋体" w:hAnsi="宋体" w:cs="宋体"/>
                <w:szCs w:val="21"/>
              </w:rPr>
            </w:pPr>
          </w:p>
        </w:tc>
        <w:tc>
          <w:tcPr>
            <w:tcW w:w="2136" w:type="dxa"/>
            <w:vAlign w:val="center"/>
          </w:tcPr>
          <w:p>
            <w:pPr>
              <w:widowControl/>
              <w:jc w:val="center"/>
              <w:rPr>
                <w:rFonts w:ascii="宋体" w:hAnsi="宋体"/>
                <w:szCs w:val="21"/>
              </w:rPr>
            </w:pPr>
          </w:p>
        </w:tc>
        <w:tc>
          <w:tcPr>
            <w:tcW w:w="2328" w:type="dxa"/>
            <w:vAlign w:val="center"/>
          </w:tcPr>
          <w:p>
            <w:pPr>
              <w:widowControl/>
              <w:jc w:val="center"/>
              <w:rPr>
                <w:rFonts w:ascii="宋体" w:hAnsi="宋体"/>
                <w:szCs w:val="21"/>
              </w:rPr>
            </w:pPr>
          </w:p>
        </w:tc>
        <w:tc>
          <w:tcPr>
            <w:tcW w:w="2352" w:type="dxa"/>
            <w:vAlign w:val="center"/>
          </w:tcPr>
          <w:p>
            <w:pPr>
              <w:widowControl/>
              <w:jc w:val="center"/>
              <w:rPr>
                <w:rFonts w:ascii="宋体" w:hAnsi="宋体"/>
                <w:szCs w:val="21"/>
              </w:rPr>
            </w:pPr>
          </w:p>
        </w:tc>
        <w:tc>
          <w:tcPr>
            <w:tcW w:w="252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0" w:type="dxa"/>
            <w:vAlign w:val="center"/>
          </w:tcPr>
          <w:p>
            <w:pPr>
              <w:jc w:val="center"/>
              <w:rPr>
                <w:rFonts w:ascii="宋体" w:hAnsi="宋体" w:cs="宋体"/>
                <w:szCs w:val="21"/>
              </w:rPr>
            </w:pPr>
          </w:p>
        </w:tc>
        <w:tc>
          <w:tcPr>
            <w:tcW w:w="2160" w:type="dxa"/>
            <w:vAlign w:val="center"/>
          </w:tcPr>
          <w:p>
            <w:pPr>
              <w:jc w:val="center"/>
              <w:rPr>
                <w:rFonts w:ascii="宋体" w:hAnsi="宋体" w:cs="宋体"/>
                <w:szCs w:val="21"/>
              </w:rPr>
            </w:pPr>
          </w:p>
        </w:tc>
        <w:tc>
          <w:tcPr>
            <w:tcW w:w="2136" w:type="dxa"/>
            <w:vAlign w:val="center"/>
          </w:tcPr>
          <w:p>
            <w:pPr>
              <w:widowControl/>
              <w:jc w:val="center"/>
              <w:rPr>
                <w:rFonts w:ascii="宋体" w:hAnsi="宋体"/>
                <w:szCs w:val="21"/>
              </w:rPr>
            </w:pPr>
          </w:p>
        </w:tc>
        <w:tc>
          <w:tcPr>
            <w:tcW w:w="2328" w:type="dxa"/>
            <w:vAlign w:val="center"/>
          </w:tcPr>
          <w:p>
            <w:pPr>
              <w:widowControl/>
              <w:jc w:val="center"/>
              <w:rPr>
                <w:rFonts w:ascii="宋体" w:hAnsi="宋体"/>
                <w:szCs w:val="21"/>
              </w:rPr>
            </w:pPr>
          </w:p>
        </w:tc>
        <w:tc>
          <w:tcPr>
            <w:tcW w:w="2352" w:type="dxa"/>
            <w:vAlign w:val="center"/>
          </w:tcPr>
          <w:p>
            <w:pPr>
              <w:widowControl/>
              <w:jc w:val="center"/>
              <w:rPr>
                <w:rFonts w:ascii="宋体" w:hAnsi="宋体"/>
                <w:szCs w:val="21"/>
              </w:rPr>
            </w:pPr>
          </w:p>
        </w:tc>
        <w:tc>
          <w:tcPr>
            <w:tcW w:w="2520" w:type="dxa"/>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70" w:type="dxa"/>
            <w:gridSpan w:val="2"/>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2136" w:type="dxa"/>
            <w:vAlign w:val="center"/>
          </w:tcPr>
          <w:p>
            <w:pPr>
              <w:widowControl/>
              <w:jc w:val="center"/>
              <w:rPr>
                <w:rFonts w:ascii="宋体" w:hAnsi="宋体" w:cs="宋体"/>
                <w:kern w:val="0"/>
                <w:szCs w:val="21"/>
              </w:rPr>
            </w:pPr>
          </w:p>
        </w:tc>
        <w:tc>
          <w:tcPr>
            <w:tcW w:w="2328" w:type="dxa"/>
            <w:vAlign w:val="center"/>
          </w:tcPr>
          <w:p>
            <w:pPr>
              <w:widowControl/>
              <w:jc w:val="center"/>
              <w:rPr>
                <w:rFonts w:ascii="宋体" w:hAnsi="宋体" w:cs="宋体"/>
                <w:kern w:val="0"/>
                <w:szCs w:val="21"/>
              </w:rPr>
            </w:pPr>
          </w:p>
        </w:tc>
        <w:tc>
          <w:tcPr>
            <w:tcW w:w="2352" w:type="dxa"/>
            <w:vAlign w:val="center"/>
          </w:tcPr>
          <w:p>
            <w:pPr>
              <w:widowControl/>
              <w:jc w:val="center"/>
              <w:rPr>
                <w:rFonts w:ascii="宋体" w:hAnsi="宋体" w:cs="宋体"/>
                <w:kern w:val="0"/>
                <w:szCs w:val="21"/>
              </w:rPr>
            </w:pPr>
          </w:p>
        </w:tc>
        <w:tc>
          <w:tcPr>
            <w:tcW w:w="2520" w:type="dxa"/>
            <w:shd w:val="clear" w:color="auto" w:fill="auto"/>
            <w:vAlign w:val="center"/>
          </w:tcPr>
          <w:p>
            <w:pPr>
              <w:widowControl/>
              <w:jc w:val="center"/>
              <w:rPr>
                <w:rFonts w:ascii="宋体" w:hAnsi="宋体" w:cs="宋体"/>
                <w:kern w:val="0"/>
                <w:szCs w:val="21"/>
              </w:rPr>
            </w:pPr>
          </w:p>
        </w:tc>
      </w:tr>
    </w:tbl>
    <w:p>
      <w:pPr>
        <w:rPr>
          <w:rFonts w:ascii="宋体" w:hAnsi="宋体"/>
          <w:color w:val="FF0000"/>
          <w:szCs w:val="21"/>
        </w:rPr>
      </w:pPr>
      <w:r>
        <w:rPr>
          <w:rFonts w:hint="eastAsia" w:ascii="宋体" w:hAnsi="宋体"/>
          <w:color w:val="FF0000"/>
          <w:szCs w:val="21"/>
        </w:rPr>
        <w:t>注：本表反映单位本年度国有资本经营预算财政拨款收入支出及结转和结余情况。</w:t>
      </w:r>
    </w:p>
    <w:p>
      <w:pPr>
        <w:rPr>
          <w:rFonts w:ascii="宋体" w:hAnsi="宋体"/>
          <w:szCs w:val="21"/>
        </w:rPr>
      </w:pPr>
      <w:r>
        <w:rPr>
          <w:rFonts w:hint="eastAsia" w:ascii="宋体" w:hAnsi="宋体"/>
          <w:szCs w:val="21"/>
        </w:rPr>
        <w:t>说明：上海市松江区九亭镇住房保障和房屋管理事务所本年度没有国有资本经营预算财政拨款收入和支出，故本表无数据。</w:t>
      </w:r>
    </w:p>
    <w:p>
      <w:pPr>
        <w:rPr>
          <w:rFonts w:ascii="宋体" w:hAnsi="宋体"/>
          <w:szCs w:val="21"/>
        </w:rPr>
      </w:pPr>
    </w:p>
    <w:tbl>
      <w:tblPr>
        <w:tblStyle w:val="8"/>
        <w:tblW w:w="10073" w:type="dxa"/>
        <w:jc w:val="center"/>
        <w:tblLayout w:type="autofit"/>
        <w:tblCellMar>
          <w:top w:w="0" w:type="dxa"/>
          <w:left w:w="108" w:type="dxa"/>
          <w:bottom w:w="0" w:type="dxa"/>
          <w:right w:w="108" w:type="dxa"/>
        </w:tblCellMar>
      </w:tblPr>
      <w:tblGrid>
        <w:gridCol w:w="6190"/>
        <w:gridCol w:w="1070"/>
        <w:gridCol w:w="992"/>
        <w:gridCol w:w="851"/>
        <w:gridCol w:w="970"/>
      </w:tblGrid>
      <w:tr>
        <w:tblPrEx>
          <w:tblCellMar>
            <w:top w:w="0" w:type="dxa"/>
            <w:left w:w="108" w:type="dxa"/>
            <w:bottom w:w="0" w:type="dxa"/>
            <w:right w:w="108" w:type="dxa"/>
          </w:tblCellMar>
        </w:tblPrEx>
        <w:trPr>
          <w:trHeight w:val="435" w:hRule="atLeast"/>
          <w:jc w:val="center"/>
        </w:trPr>
        <w:tc>
          <w:tcPr>
            <w:tcW w:w="6190" w:type="dxa"/>
            <w:tcBorders>
              <w:top w:val="nil"/>
              <w:left w:val="nil"/>
              <w:bottom w:val="single" w:color="000000" w:sz="4" w:space="0"/>
              <w:right w:val="nil"/>
            </w:tcBorders>
            <w:noWrap/>
            <w:vAlign w:val="center"/>
          </w:tcPr>
          <w:p>
            <w:pPr>
              <w:ind w:firstLine="4410" w:firstLineChars="2100"/>
              <w:rPr>
                <w:rFonts w:ascii="宋体" w:hAnsi="宋体" w:cs="宋体"/>
                <w:b/>
                <w:bCs/>
                <w:color w:val="000000"/>
                <w:kern w:val="0"/>
                <w:sz w:val="36"/>
                <w:szCs w:val="36"/>
              </w:rPr>
            </w:pPr>
            <w:r>
              <w:rPr>
                <w:rFonts w:hint="eastAsia" w:ascii="宋体" w:hAnsi="宋体"/>
                <w:szCs w:val="21"/>
              </w:rPr>
              <w:t>资产负债情况表</w:t>
            </w:r>
          </w:p>
        </w:tc>
        <w:tc>
          <w:tcPr>
            <w:tcW w:w="2062" w:type="dxa"/>
            <w:gridSpan w:val="2"/>
            <w:tcBorders>
              <w:top w:val="nil"/>
              <w:left w:val="nil"/>
              <w:bottom w:val="single" w:color="auto" w:sz="4" w:space="0"/>
              <w:right w:val="nil"/>
            </w:tcBorders>
            <w:noWrap/>
            <w:vAlign w:val="center"/>
          </w:tcPr>
          <w:p>
            <w:pPr>
              <w:widowControl/>
              <w:jc w:val="left"/>
              <w:rPr>
                <w:rFonts w:ascii="Times New Roman" w:hAnsi="Times New Roman" w:cs="Times New Roman"/>
                <w:kern w:val="0"/>
                <w:sz w:val="20"/>
                <w:szCs w:val="20"/>
              </w:rPr>
            </w:pPr>
          </w:p>
        </w:tc>
        <w:tc>
          <w:tcPr>
            <w:tcW w:w="1821" w:type="dxa"/>
            <w:gridSpan w:val="2"/>
            <w:tcBorders>
              <w:top w:val="nil"/>
              <w:left w:val="nil"/>
              <w:bottom w:val="single" w:color="auto" w:sz="4" w:space="0"/>
              <w:right w:val="nil"/>
            </w:tcBorders>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35" w:hRule="atLeast"/>
          <w:jc w:val="center"/>
        </w:trPr>
        <w:tc>
          <w:tcPr>
            <w:tcW w:w="6190"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0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182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价值</w:t>
            </w:r>
          </w:p>
        </w:tc>
      </w:tr>
      <w:tr>
        <w:tblPrEx>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年初数</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年末数</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年初数</w:t>
            </w: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年末数</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一、资产合计</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60.59</w:t>
            </w: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58.17</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（一）流动资产</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50.99</w:t>
            </w: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50.96</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（二）固定资产</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16.82</w:t>
            </w: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16.82</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其中：1.房屋（平方米）</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color w:val="000000"/>
                <w:sz w:val="20"/>
                <w:szCs w:val="20"/>
              </w:rPr>
              <w:t xml:space="preserve">                2.</w:t>
            </w:r>
            <w:r>
              <w:rPr>
                <w:rFonts w:hint="eastAsia"/>
                <w:color w:val="000000"/>
                <w:sz w:val="20"/>
                <w:szCs w:val="20"/>
              </w:rPr>
              <w:t>通用设备（台</w:t>
            </w:r>
            <w:r>
              <w:rPr>
                <w:color w:val="000000"/>
                <w:sz w:val="20"/>
                <w:szCs w:val="20"/>
              </w:rPr>
              <w:t>/</w:t>
            </w:r>
            <w:r>
              <w:rPr>
                <w:rFonts w:hint="eastAsia"/>
                <w:color w:val="000000"/>
                <w:sz w:val="20"/>
                <w:szCs w:val="20"/>
              </w:rPr>
              <w:t>套</w:t>
            </w:r>
            <w:r>
              <w:rPr>
                <w:color w:val="000000"/>
                <w:sz w:val="20"/>
                <w:szCs w:val="20"/>
              </w:rPr>
              <w:t>/</w:t>
            </w:r>
            <w:r>
              <w:rPr>
                <w:rFonts w:hint="eastAsia"/>
                <w:color w:val="000000"/>
                <w:sz w:val="20"/>
                <w:szCs w:val="20"/>
              </w:rPr>
              <w:t>辆）</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其中：（</w:t>
            </w:r>
            <w:r>
              <w:rPr>
                <w:color w:val="000000"/>
                <w:sz w:val="20"/>
                <w:szCs w:val="20"/>
              </w:rPr>
              <w:t>1</w:t>
            </w:r>
            <w:r>
              <w:rPr>
                <w:rFonts w:hint="eastAsia"/>
                <w:color w:val="000000"/>
                <w:sz w:val="20"/>
                <w:szCs w:val="20"/>
              </w:rPr>
              <w:t>）车辆（辆）</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一般公务用车</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执法执勤用车</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特种专业技术用车</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其他用车</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（2）单价50万元以上通用设备（不含车辆）</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3.专用设备（台/套）</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其中：单价100万元以上专用设备</w:t>
            </w:r>
          </w:p>
        </w:tc>
        <w:tc>
          <w:tcPr>
            <w:tcW w:w="107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4.其他固定资产</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减：累计折旧及减值准备</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7.22</w:t>
            </w: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9.62</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color w:val="000000"/>
                <w:sz w:val="20"/>
                <w:szCs w:val="20"/>
              </w:rPr>
              <w:t xml:space="preserve">   </w:t>
            </w:r>
            <w:r>
              <w:rPr>
                <w:rFonts w:hint="eastAsia"/>
                <w:color w:val="000000"/>
                <w:sz w:val="20"/>
                <w:szCs w:val="20"/>
              </w:rPr>
              <w:t>（三）长期股权投资</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（四）长期债券投资</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color w:val="000000"/>
                <w:sz w:val="20"/>
                <w:szCs w:val="20"/>
              </w:rPr>
              <w:t xml:space="preserve">   </w:t>
            </w:r>
            <w:r>
              <w:rPr>
                <w:rFonts w:hint="eastAsia"/>
                <w:color w:val="000000"/>
                <w:sz w:val="20"/>
                <w:szCs w:val="20"/>
              </w:rPr>
              <w:t>（五）在建工程</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（六）无形资产</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减：累计摊销</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rPr>
                <w:color w:val="000000"/>
                <w:sz w:val="20"/>
                <w:szCs w:val="20"/>
              </w:rPr>
            </w:pPr>
            <w:r>
              <w:rPr>
                <w:color w:val="000000"/>
                <w:sz w:val="20"/>
                <w:szCs w:val="20"/>
              </w:rPr>
              <w:t xml:space="preserve">   </w:t>
            </w:r>
            <w:r>
              <w:rPr>
                <w:rFonts w:hint="eastAsia"/>
                <w:color w:val="000000"/>
                <w:sz w:val="20"/>
                <w:szCs w:val="20"/>
              </w:rPr>
              <w:t>（七）其他资产</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二、负债合计</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1.13</w:t>
            </w: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1.13</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三、净资产合计</w:t>
            </w:r>
          </w:p>
        </w:tc>
        <w:tc>
          <w:tcPr>
            <w:tcW w:w="10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59.46</w:t>
            </w:r>
          </w:p>
        </w:tc>
        <w:tc>
          <w:tcPr>
            <w:tcW w:w="97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57.03</w:t>
            </w:r>
          </w:p>
        </w:tc>
      </w:tr>
    </w:tbl>
    <w:p>
      <w:pPr>
        <w:rPr>
          <w:rFonts w:ascii="宋体" w:hAnsi="宋体"/>
          <w:szCs w:val="21"/>
        </w:rPr>
        <w:sectPr>
          <w:headerReference r:id="rId5" w:type="default"/>
          <w:footerReference r:id="rId6" w:type="default"/>
          <w:pgSz w:w="16838" w:h="11906" w:orient="landscape"/>
          <w:pgMar w:top="1797" w:right="1440" w:bottom="1797" w:left="1440" w:header="851" w:footer="992" w:gutter="0"/>
          <w:cols w:space="425" w:num="1"/>
          <w:docGrid w:type="linesAndChars" w:linePitch="312" w:charSpace="0"/>
        </w:sectPr>
      </w:pPr>
    </w:p>
    <w:p>
      <w:pPr>
        <w:jc w:val="center"/>
        <w:rPr>
          <w:rFonts w:ascii="黑体" w:eastAsia="黑体"/>
          <w:sz w:val="30"/>
          <w:szCs w:val="30"/>
        </w:rPr>
      </w:pPr>
      <w:r>
        <w:rPr>
          <w:rFonts w:hint="eastAsia" w:ascii="黑体" w:eastAsia="黑体"/>
          <w:sz w:val="30"/>
          <w:szCs w:val="30"/>
        </w:rPr>
        <w:t>第三部分  上海市松江区九亭镇住房保障和房屋管理事务所2021年度部门决算情况说明</w:t>
      </w:r>
    </w:p>
    <w:p>
      <w:pPr>
        <w:jc w:val="center"/>
        <w:rPr>
          <w:rFonts w:ascii="黑体" w:eastAsia="黑体"/>
          <w:sz w:val="30"/>
          <w:szCs w:val="30"/>
        </w:rPr>
      </w:pPr>
    </w:p>
    <w:p>
      <w:pPr>
        <w:ind w:firstLine="602" w:firstLineChars="200"/>
        <w:outlineLvl w:val="0"/>
        <w:rPr>
          <w:rFonts w:ascii="楷体_GB2312" w:eastAsia="楷体_GB2312"/>
          <w:b/>
          <w:sz w:val="30"/>
          <w:szCs w:val="30"/>
        </w:rPr>
      </w:pPr>
      <w:r>
        <w:rPr>
          <w:rFonts w:hint="eastAsia" w:ascii="楷体_GB2312" w:eastAsia="楷体_GB2312"/>
          <w:b/>
          <w:sz w:val="30"/>
          <w:szCs w:val="30"/>
        </w:rPr>
        <w:t>一、收入支出决算总体情况说明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上海市松江区九亭镇住房保障和房屋管理事务所</w:t>
      </w:r>
      <w:r>
        <w:rPr>
          <w:rFonts w:hint="eastAsia" w:ascii="仿宋_GB2312" w:eastAsia="仿宋_GB2312"/>
          <w:sz w:val="30"/>
          <w:szCs w:val="30"/>
        </w:rPr>
        <w:t>2021年度收入支出总计2795.69万元，与2020年度相比，收入支出总计增加2661.92万元。主要原因：增加了老旧修缮项目。</w:t>
      </w:r>
    </w:p>
    <w:p>
      <w:pPr>
        <w:ind w:firstLine="602" w:firstLineChars="200"/>
        <w:rPr>
          <w:rFonts w:ascii="楷体_GB2312" w:eastAsia="楷体_GB2312"/>
          <w:b/>
          <w:sz w:val="30"/>
          <w:szCs w:val="30"/>
        </w:rPr>
      </w:pPr>
      <w:r>
        <w:rPr>
          <w:rFonts w:hint="eastAsia" w:ascii="楷体_GB2312" w:eastAsia="楷体_GB2312"/>
          <w:b/>
          <w:sz w:val="30"/>
          <w:szCs w:val="30"/>
        </w:rPr>
        <w:t>二、收入决算情况说明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本年</w:t>
      </w:r>
      <w:r>
        <w:rPr>
          <w:rFonts w:hint="eastAsia" w:ascii="仿宋_GB2312" w:eastAsia="仿宋_GB2312"/>
          <w:sz w:val="30"/>
          <w:szCs w:val="30"/>
        </w:rPr>
        <w:t>收入合计2795.69万元，其中：财政拨款收入2795.69万元，占100%。</w:t>
      </w:r>
    </w:p>
    <w:p>
      <w:pPr>
        <w:ind w:firstLine="602" w:firstLineChars="200"/>
        <w:outlineLvl w:val="0"/>
        <w:rPr>
          <w:rFonts w:ascii="楷体_GB2312" w:eastAsia="楷体_GB2312"/>
          <w:b/>
          <w:sz w:val="30"/>
          <w:szCs w:val="30"/>
        </w:rPr>
      </w:pPr>
      <w:r>
        <w:rPr>
          <w:rFonts w:hint="eastAsia" w:ascii="楷体_GB2312" w:eastAsia="楷体_GB2312"/>
          <w:b/>
          <w:sz w:val="30"/>
          <w:szCs w:val="30"/>
        </w:rPr>
        <w:t>三、支出决算情况说明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本年</w:t>
      </w:r>
      <w:r>
        <w:rPr>
          <w:rFonts w:hint="eastAsia" w:ascii="仿宋_GB2312" w:eastAsia="仿宋_GB2312"/>
          <w:sz w:val="30"/>
          <w:szCs w:val="30"/>
        </w:rPr>
        <w:t>支出合计2795.69万元，其中：基本支出120.34万元，占4.30%；项目支出2675.35万元，占95.70%。</w:t>
      </w:r>
    </w:p>
    <w:p>
      <w:pPr>
        <w:ind w:firstLine="602" w:firstLineChars="200"/>
        <w:outlineLvl w:val="0"/>
        <w:rPr>
          <w:rFonts w:ascii="楷体_GB2312" w:eastAsia="楷体_GB2312"/>
          <w:b/>
          <w:sz w:val="30"/>
          <w:szCs w:val="30"/>
        </w:rPr>
      </w:pPr>
      <w:r>
        <w:rPr>
          <w:rFonts w:hint="eastAsia" w:ascii="楷体_GB2312" w:eastAsia="楷体_GB2312"/>
          <w:b/>
          <w:sz w:val="30"/>
          <w:szCs w:val="30"/>
        </w:rPr>
        <w:t>四、财政拨款收入支出决算总体情况说明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上海市松江区九亭镇住房保障和房屋管理事务所</w:t>
      </w:r>
      <w:r>
        <w:rPr>
          <w:rFonts w:hint="eastAsia" w:ascii="仿宋_GB2312" w:eastAsia="仿宋_GB2312"/>
          <w:sz w:val="30"/>
          <w:szCs w:val="30"/>
        </w:rPr>
        <w:t>2021年度财政拨款收入支出总计2795.69万元。与2020年度相比，财政拨款收入支出总计增加2661.92万元，大幅增长。主要原因：增加了老旧修缮项目</w:t>
      </w:r>
    </w:p>
    <w:p>
      <w:pPr>
        <w:ind w:firstLine="602" w:firstLineChars="200"/>
        <w:rPr>
          <w:rFonts w:ascii="楷体_GB2312" w:eastAsia="楷体_GB2312"/>
          <w:b/>
          <w:sz w:val="30"/>
          <w:szCs w:val="30"/>
        </w:rPr>
      </w:pPr>
      <w:r>
        <w:rPr>
          <w:rFonts w:hint="eastAsia" w:ascii="楷体_GB2312" w:eastAsia="楷体_GB2312"/>
          <w:b/>
          <w:sz w:val="30"/>
          <w:szCs w:val="30"/>
        </w:rPr>
        <w:t>五、一般公共预算财政拨款支出决算情况说明</w:t>
      </w:r>
    </w:p>
    <w:p>
      <w:pPr>
        <w:ind w:firstLine="602" w:firstLineChars="200"/>
        <w:outlineLvl w:val="0"/>
        <w:rPr>
          <w:rFonts w:ascii="楷体_GB2312" w:hAnsi="宋体" w:eastAsia="楷体_GB2312"/>
          <w:b/>
          <w:sz w:val="30"/>
          <w:szCs w:val="30"/>
        </w:rPr>
      </w:pPr>
      <w:r>
        <w:rPr>
          <w:rFonts w:hint="eastAsia" w:ascii="楷体_GB2312" w:hAnsi="宋体" w:eastAsia="楷体_GB2312"/>
          <w:b/>
          <w:sz w:val="30"/>
          <w:szCs w:val="30"/>
        </w:rPr>
        <w:t>（一）一般公共预算财政拨款支出决算总体情况</w:t>
      </w:r>
    </w:p>
    <w:p>
      <w:pPr>
        <w:ind w:firstLine="600" w:firstLineChars="200"/>
        <w:rPr>
          <w:rFonts w:ascii="仿宋_GB2312" w:eastAsia="仿宋_GB2312"/>
          <w:sz w:val="30"/>
          <w:szCs w:val="30"/>
        </w:rPr>
      </w:pPr>
      <w:r>
        <w:rPr>
          <w:rFonts w:hint="eastAsia" w:ascii="仿宋_GB2312" w:eastAsia="仿宋_GB2312"/>
          <w:sz w:val="30"/>
          <w:szCs w:val="30"/>
        </w:rPr>
        <w:t>一般公共预算财政拨款支出2795.69万元，占本年支出合计的100%。与2020年度相比，一般公共预算财政拨款支出增加2661.92万元。主要原因：增加了老旧修缮项目</w:t>
      </w:r>
    </w:p>
    <w:p>
      <w:pPr>
        <w:ind w:firstLine="602" w:firstLineChars="200"/>
        <w:rPr>
          <w:rFonts w:ascii="楷体_GB2312" w:hAnsi="宋体" w:eastAsia="楷体_GB2312"/>
          <w:b/>
          <w:sz w:val="30"/>
          <w:szCs w:val="30"/>
        </w:rPr>
      </w:pPr>
      <w:r>
        <w:rPr>
          <w:rFonts w:hint="eastAsia" w:ascii="楷体_GB2312" w:hAnsi="宋体" w:eastAsia="楷体_GB2312"/>
          <w:b/>
          <w:sz w:val="30"/>
          <w:szCs w:val="30"/>
        </w:rPr>
        <w:t>（二）一般公共预算财政拨款支出决算结构情况</w:t>
      </w:r>
    </w:p>
    <w:p>
      <w:pPr>
        <w:rPr>
          <w:rFonts w:ascii="仿宋_GB2312" w:eastAsia="仿宋_GB2312"/>
          <w:sz w:val="30"/>
          <w:szCs w:val="30"/>
        </w:rPr>
      </w:pPr>
      <w:r>
        <w:rPr>
          <w:rFonts w:hint="eastAsia" w:ascii="仿宋_GB2312" w:eastAsia="仿宋_GB2312"/>
          <w:sz w:val="30"/>
          <w:szCs w:val="30"/>
        </w:rPr>
        <w:t>一般公共预算财政拨款支出2795.69万元，主要用于以下方面：社会保障和就业支出18.24万元，占0.65%；卫生健康支出7.24万元，占0.26%，住房保障支出2770.21万元，占比99.09%。</w:t>
      </w:r>
    </w:p>
    <w:p>
      <w:pPr>
        <w:rPr>
          <w:rFonts w:ascii="楷体_GB2312" w:hAnsi="宋体" w:eastAsia="楷体_GB2312"/>
          <w:b/>
          <w:sz w:val="30"/>
          <w:szCs w:val="30"/>
        </w:rPr>
      </w:pPr>
      <w:r>
        <w:rPr>
          <w:rFonts w:hint="eastAsia" w:ascii="楷体_GB2312" w:hAnsi="宋体" w:eastAsia="楷体_GB2312"/>
          <w:b/>
          <w:sz w:val="30"/>
          <w:szCs w:val="30"/>
        </w:rPr>
        <w:t>（三）一般公共预算财政拨款支出决算具体情况</w:t>
      </w:r>
    </w:p>
    <w:p>
      <w:pPr>
        <w:ind w:firstLine="600" w:firstLineChars="200"/>
        <w:rPr>
          <w:rFonts w:ascii="仿宋_GB2312" w:eastAsia="仿宋_GB2312"/>
          <w:sz w:val="30"/>
          <w:szCs w:val="30"/>
        </w:rPr>
      </w:pPr>
      <w:r>
        <w:rPr>
          <w:rFonts w:hint="eastAsia" w:ascii="仿宋_GB2312" w:eastAsia="仿宋_GB2312"/>
          <w:sz w:val="30"/>
          <w:szCs w:val="30"/>
        </w:rPr>
        <w:t>一般公共预算财政拨款支出年初预算为2600.00万元，支出决算为2795.69万元，超额完成预算。决算数大于预算数的主要原因：项目金额增加195.69万。其中：</w:t>
      </w:r>
    </w:p>
    <w:p>
      <w:pPr>
        <w:ind w:firstLine="600" w:firstLineChars="200"/>
        <w:rPr>
          <w:rFonts w:ascii="仿宋_GB2312" w:eastAsia="仿宋_GB2312"/>
          <w:sz w:val="30"/>
          <w:szCs w:val="30"/>
        </w:rPr>
      </w:pPr>
      <w:r>
        <w:rPr>
          <w:rFonts w:hint="eastAsia" w:ascii="仿宋_GB2312" w:eastAsia="仿宋_GB2312"/>
          <w:sz w:val="30"/>
          <w:szCs w:val="30"/>
        </w:rPr>
        <w:t>1、社会保障和就业支出。主要用于：本单位人员基本养老保险缴费支出。年初预算为18.23万元，支出决算为18.24万元。</w:t>
      </w:r>
    </w:p>
    <w:p>
      <w:pPr>
        <w:ind w:firstLine="600" w:firstLineChars="200"/>
        <w:rPr>
          <w:rFonts w:ascii="仿宋_GB2312" w:eastAsia="仿宋_GB2312"/>
          <w:sz w:val="30"/>
          <w:szCs w:val="30"/>
        </w:rPr>
      </w:pPr>
      <w:r>
        <w:rPr>
          <w:rFonts w:hint="eastAsia" w:ascii="仿宋_GB2312" w:eastAsia="仿宋_GB2312"/>
          <w:sz w:val="30"/>
          <w:szCs w:val="30"/>
        </w:rPr>
        <w:t>2、卫生健康支出。主要用于：本单位</w:t>
      </w:r>
      <w:r>
        <w:rPr>
          <w:rFonts w:ascii="仿宋_GB2312" w:eastAsia="仿宋_GB2312"/>
          <w:sz w:val="30"/>
          <w:szCs w:val="30"/>
        </w:rPr>
        <w:t>人员缴纳基本医疗保险费的支出</w:t>
      </w:r>
      <w:r>
        <w:rPr>
          <w:rFonts w:hint="eastAsia" w:ascii="仿宋_GB2312" w:eastAsia="仿宋_GB2312"/>
          <w:sz w:val="30"/>
          <w:szCs w:val="30"/>
        </w:rPr>
        <w:t>。年初预算为7.31万元，支出决算为7.24万元。</w:t>
      </w:r>
    </w:p>
    <w:p>
      <w:pPr>
        <w:ind w:firstLine="600" w:firstLineChars="200"/>
        <w:rPr>
          <w:rFonts w:ascii="仿宋_GB2312" w:eastAsia="仿宋_GB2312"/>
          <w:sz w:val="30"/>
          <w:szCs w:val="30"/>
        </w:rPr>
      </w:pPr>
      <w:r>
        <w:rPr>
          <w:rFonts w:hint="eastAsia" w:ascii="仿宋_GB2312" w:eastAsia="仿宋_GB2312"/>
          <w:sz w:val="30"/>
          <w:szCs w:val="30"/>
        </w:rPr>
        <w:t>3、住房保障支出。主要用于：本单位</w:t>
      </w:r>
      <w:r>
        <w:rPr>
          <w:rFonts w:ascii="仿宋_GB2312" w:eastAsia="仿宋_GB2312"/>
          <w:sz w:val="30"/>
          <w:szCs w:val="30"/>
        </w:rPr>
        <w:t>人员缴纳住房公积金的支出</w:t>
      </w:r>
      <w:r>
        <w:rPr>
          <w:rFonts w:hint="eastAsia" w:ascii="仿宋_GB2312" w:eastAsia="仿宋_GB2312"/>
          <w:sz w:val="30"/>
          <w:szCs w:val="30"/>
        </w:rPr>
        <w:t>、城乡社区住宅支出。年初预算为2574.46万元，支出决算为2770.21万元。</w:t>
      </w:r>
    </w:p>
    <w:p>
      <w:pPr>
        <w:ind w:firstLine="602" w:firstLineChars="200"/>
        <w:outlineLvl w:val="0"/>
        <w:rPr>
          <w:rFonts w:ascii="楷体_GB2312" w:eastAsia="楷体_GB2312"/>
          <w:b/>
          <w:sz w:val="30"/>
          <w:szCs w:val="30"/>
        </w:rPr>
      </w:pPr>
      <w:r>
        <w:rPr>
          <w:rFonts w:hint="eastAsia" w:ascii="楷体_GB2312" w:eastAsia="楷体_GB2312"/>
          <w:b/>
          <w:sz w:val="30"/>
          <w:szCs w:val="30"/>
        </w:rPr>
        <w:t>六、一般公共预算财政拨款基本支出决算情况说明</w:t>
      </w:r>
    </w:p>
    <w:p>
      <w:pPr>
        <w:ind w:firstLine="600" w:firstLineChars="200"/>
        <w:rPr>
          <w:rFonts w:ascii="仿宋_GB2312" w:eastAsia="仿宋_GB2312"/>
          <w:sz w:val="30"/>
          <w:szCs w:val="30"/>
        </w:rPr>
      </w:pPr>
      <w:r>
        <w:rPr>
          <w:rFonts w:hint="eastAsia" w:ascii="仿宋_GB2312" w:eastAsia="仿宋_GB2312"/>
          <w:sz w:val="30"/>
          <w:szCs w:val="30"/>
        </w:rPr>
        <w:t>一般公共预算财政拨款基本支出2795.69万元。其中：人员经费115.93万元；公用经费4.41万元。基本支出中：</w:t>
      </w:r>
    </w:p>
    <w:p>
      <w:pPr>
        <w:ind w:firstLine="600" w:firstLineChars="200"/>
        <w:rPr>
          <w:rFonts w:ascii="仿宋_GB2312" w:eastAsia="仿宋_GB2312"/>
          <w:sz w:val="30"/>
          <w:szCs w:val="30"/>
        </w:rPr>
      </w:pPr>
      <w:r>
        <w:rPr>
          <w:rFonts w:hint="eastAsia" w:ascii="仿宋_GB2312" w:eastAsia="仿宋_GB2312"/>
          <w:sz w:val="30"/>
          <w:szCs w:val="30"/>
        </w:rPr>
        <w:t>1、工资福利支出115.72万元，主要用于：基本工资、津贴补贴、奖金。</w:t>
      </w:r>
    </w:p>
    <w:p>
      <w:pPr>
        <w:ind w:firstLine="600" w:firstLineChars="200"/>
        <w:rPr>
          <w:rFonts w:ascii="仿宋_GB2312" w:eastAsia="仿宋_GB2312"/>
          <w:sz w:val="30"/>
          <w:szCs w:val="30"/>
        </w:rPr>
      </w:pPr>
      <w:r>
        <w:rPr>
          <w:rFonts w:hint="eastAsia" w:ascii="仿宋_GB2312" w:eastAsia="仿宋_GB2312"/>
          <w:sz w:val="30"/>
          <w:szCs w:val="30"/>
        </w:rPr>
        <w:t>2、商品和服务支出4.41万元，主要用于：办公费、邮电费工会经费、福利费等。</w:t>
      </w:r>
    </w:p>
    <w:p>
      <w:pPr>
        <w:ind w:firstLine="600" w:firstLineChars="200"/>
        <w:rPr>
          <w:rFonts w:ascii="仿宋_GB2312" w:eastAsia="仿宋_GB2312"/>
          <w:sz w:val="30"/>
          <w:szCs w:val="30"/>
        </w:rPr>
      </w:pPr>
      <w:r>
        <w:rPr>
          <w:rFonts w:hint="eastAsia" w:ascii="仿宋_GB2312" w:eastAsia="仿宋_GB2312"/>
          <w:sz w:val="30"/>
          <w:szCs w:val="30"/>
        </w:rPr>
        <w:t>3.对个人和家庭的补助0.21万</w:t>
      </w:r>
    </w:p>
    <w:p>
      <w:pPr>
        <w:ind w:firstLine="602" w:firstLineChars="200"/>
        <w:rPr>
          <w:rFonts w:ascii="楷体_GB2312" w:eastAsia="楷体_GB2312"/>
          <w:b/>
          <w:sz w:val="30"/>
          <w:szCs w:val="30"/>
        </w:rPr>
      </w:pPr>
      <w:r>
        <w:rPr>
          <w:rFonts w:hint="eastAsia" w:ascii="楷体_GB2312" w:eastAsia="楷体_GB2312"/>
          <w:b/>
          <w:sz w:val="30"/>
          <w:szCs w:val="30"/>
        </w:rPr>
        <w:t>七、一般公共预算财政拨款“三公”经费支出决算情况说明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上海市松江区九亭镇住房保障和房屋管理事务所</w:t>
      </w:r>
      <w:r>
        <w:rPr>
          <w:rFonts w:hint="eastAsia" w:ascii="仿宋_GB2312" w:eastAsia="仿宋_GB2312"/>
          <w:sz w:val="30"/>
          <w:szCs w:val="30"/>
        </w:rPr>
        <w:t>2021年度无“三公”经费财政拨款支出。</w:t>
      </w:r>
    </w:p>
    <w:p>
      <w:pPr>
        <w:ind w:firstLine="602" w:firstLineChars="200"/>
        <w:outlineLvl w:val="0"/>
        <w:rPr>
          <w:rFonts w:ascii="楷体_GB2312" w:eastAsia="楷体_GB2312"/>
          <w:b/>
          <w:sz w:val="30"/>
          <w:szCs w:val="30"/>
        </w:rPr>
      </w:pPr>
      <w:r>
        <w:rPr>
          <w:rFonts w:hint="eastAsia" w:ascii="楷体_GB2312" w:eastAsia="楷体_GB2312"/>
          <w:b/>
          <w:sz w:val="30"/>
          <w:szCs w:val="30"/>
        </w:rPr>
        <w:t>八、政府性基金预算财政拨款收入支出决算情况说明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上海市松江区九亭镇住房保障和房屋管理事务所</w:t>
      </w:r>
      <w:r>
        <w:rPr>
          <w:rFonts w:hint="eastAsia" w:ascii="仿宋_GB2312" w:eastAsia="仿宋_GB2312"/>
          <w:sz w:val="30"/>
          <w:szCs w:val="30"/>
        </w:rPr>
        <w:t>2021年度无政府性基金预算财政拨款收入和支出。</w:t>
      </w:r>
    </w:p>
    <w:p>
      <w:pPr>
        <w:ind w:firstLine="602" w:firstLineChars="200"/>
        <w:outlineLvl w:val="0"/>
        <w:rPr>
          <w:rFonts w:ascii="楷体_GB2312" w:eastAsia="楷体_GB2312"/>
          <w:b/>
          <w:sz w:val="30"/>
          <w:szCs w:val="30"/>
        </w:rPr>
      </w:pPr>
      <w:r>
        <w:rPr>
          <w:rFonts w:hint="eastAsia" w:ascii="楷体_GB2312" w:eastAsia="楷体_GB2312"/>
          <w:b/>
          <w:sz w:val="30"/>
          <w:szCs w:val="30"/>
        </w:rPr>
        <w:t>九、国有资本经营预算财政拨款收入支出决算情况说明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上海市松江区九亭镇住房保障和房屋管理事务所</w:t>
      </w:r>
      <w:r>
        <w:rPr>
          <w:rFonts w:hint="eastAsia" w:ascii="仿宋_GB2312" w:eastAsia="仿宋_GB2312"/>
          <w:sz w:val="30"/>
          <w:szCs w:val="30"/>
        </w:rPr>
        <w:t>2021年度无国有资本经营预算财政拨款收入和支出。</w:t>
      </w:r>
    </w:p>
    <w:p>
      <w:pPr>
        <w:widowControl/>
        <w:ind w:firstLine="602" w:firstLineChars="200"/>
        <w:jc w:val="left"/>
        <w:outlineLvl w:val="0"/>
        <w:rPr>
          <w:rFonts w:ascii="楷体_GB2312" w:hAnsi="宋体" w:eastAsia="楷体_GB2312" w:cs="楷体"/>
          <w:b/>
          <w:bCs/>
          <w:color w:val="000000"/>
          <w:kern w:val="0"/>
          <w:sz w:val="30"/>
          <w:szCs w:val="30"/>
        </w:rPr>
      </w:pPr>
      <w:r>
        <w:rPr>
          <w:rFonts w:hint="eastAsia" w:ascii="楷体_GB2312" w:hAnsi="宋体" w:eastAsia="楷体_GB2312" w:cs="楷体"/>
          <w:b/>
          <w:bCs/>
          <w:color w:val="000000"/>
          <w:kern w:val="0"/>
          <w:sz w:val="30"/>
          <w:szCs w:val="30"/>
        </w:rPr>
        <w:t>十、预算绩效管理情况</w:t>
      </w:r>
    </w:p>
    <w:p>
      <w:pPr>
        <w:pStyle w:val="16"/>
        <w:ind w:firstLine="600" w:firstLineChars="200"/>
        <w:jc w:val="both"/>
        <w:rPr>
          <w:rFonts w:eastAsia="仿宋_GB2312"/>
          <w:sz w:val="30"/>
          <w:szCs w:val="30"/>
        </w:rPr>
      </w:pPr>
      <w:r>
        <w:rPr>
          <w:rFonts w:hint="eastAsia" w:ascii="仿宋_GB2312" w:eastAsia="仿宋_GB2312"/>
          <w:sz w:val="30"/>
          <w:szCs w:val="30"/>
          <w:highlight w:val="none"/>
        </w:rPr>
        <w:t>上海市松江区九亭镇住房保障和房屋管理事务所202</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年度</w:t>
      </w:r>
      <w:bookmarkStart w:id="0" w:name="_GoBack"/>
      <w:r>
        <w:rPr>
          <w:rFonts w:hint="eastAsia" w:ascii="仿宋_GB2312" w:eastAsia="仿宋_GB2312"/>
          <w:sz w:val="30"/>
          <w:szCs w:val="30"/>
          <w:highlight w:val="none"/>
        </w:rPr>
        <w:t>预算绩效管理工作开展情况如下：</w:t>
      </w:r>
      <w:r>
        <w:rPr>
          <w:rFonts w:hint="eastAsia" w:ascii="仿宋_GB2312" w:eastAsia="仿宋_GB2312"/>
          <w:sz w:val="30"/>
          <w:szCs w:val="30"/>
        </w:rPr>
        <w:t>编报绩效目标的2021年度项目</w:t>
      </w:r>
      <w:r>
        <w:rPr>
          <w:rFonts w:hint="eastAsia" w:ascii="仿宋_GB2312" w:eastAsia="仿宋_GB2312"/>
          <w:color w:val="auto"/>
          <w:sz w:val="30"/>
          <w:szCs w:val="30"/>
        </w:rPr>
        <w:t>1个，</w:t>
      </w:r>
      <w:r>
        <w:rPr>
          <w:rFonts w:hint="eastAsia" w:ascii="仿宋_GB2312" w:eastAsia="仿宋_GB2312"/>
          <w:sz w:val="30"/>
          <w:szCs w:val="30"/>
        </w:rPr>
        <w:t>涉及预算金额2730.43万元；</w:t>
      </w:r>
      <w:r>
        <w:rPr>
          <w:rFonts w:hint="eastAsia" w:ascii="仿宋_GB2312" w:eastAsia="仿宋_GB2312"/>
          <w:color w:val="auto"/>
          <w:sz w:val="30"/>
          <w:szCs w:val="30"/>
        </w:rPr>
        <w:t>绩效跟踪评价的2021年度项目1个</w:t>
      </w:r>
      <w:r>
        <w:rPr>
          <w:rFonts w:hint="eastAsia" w:ascii="仿宋_GB2312" w:eastAsia="仿宋_GB2312"/>
          <w:sz w:val="30"/>
          <w:szCs w:val="30"/>
        </w:rPr>
        <w:t>，涉及预算金额2730.43万元；</w:t>
      </w:r>
      <w:r>
        <w:rPr>
          <w:rFonts w:hint="eastAsia" w:ascii="仿宋_GB2312" w:eastAsia="仿宋_GB2312"/>
          <w:color w:val="auto"/>
          <w:sz w:val="30"/>
          <w:szCs w:val="30"/>
        </w:rPr>
        <w:t>绩效自评的2021年度项目1个</w:t>
      </w:r>
      <w:r>
        <w:rPr>
          <w:rFonts w:hint="eastAsia" w:ascii="仿宋_GB2312" w:eastAsia="仿宋_GB2312"/>
          <w:sz w:val="30"/>
          <w:szCs w:val="30"/>
        </w:rPr>
        <w:t>，涉及预算金额2730.43万元，平均得分97分（其中，绩效评级为“优”的项目1个。绩效自评中共发现问题0个，已经完成整改的0个，正在整改的0个）。</w:t>
      </w:r>
    </w:p>
    <w:p>
      <w:pPr>
        <w:pStyle w:val="16"/>
        <w:ind w:firstLine="600" w:firstLineChars="200"/>
        <w:jc w:val="both"/>
        <w:rPr>
          <w:rFonts w:eastAsia="仿宋_GB2312"/>
          <w:sz w:val="30"/>
          <w:szCs w:val="30"/>
        </w:rPr>
      </w:pPr>
    </w:p>
    <w:bookmarkEnd w:id="0"/>
    <w:p>
      <w:pPr>
        <w:ind w:firstLine="600"/>
        <w:outlineLvl w:val="0"/>
        <w:rPr>
          <w:rFonts w:ascii="楷体_GB2312" w:eastAsia="楷体_GB2312"/>
          <w:b/>
          <w:sz w:val="30"/>
          <w:szCs w:val="30"/>
        </w:rPr>
      </w:pPr>
      <w:r>
        <w:rPr>
          <w:rFonts w:hint="eastAsia" w:ascii="楷体_GB2312" w:eastAsia="楷体_GB2312"/>
          <w:b/>
          <w:sz w:val="30"/>
          <w:szCs w:val="30"/>
        </w:rPr>
        <w:t>十一、其他重要事项的情况说明</w:t>
      </w:r>
    </w:p>
    <w:p>
      <w:pPr>
        <w:ind w:firstLine="600"/>
        <w:outlineLvl w:val="0"/>
        <w:rPr>
          <w:rFonts w:ascii="楷体_GB2312" w:eastAsia="楷体_GB2312"/>
          <w:b/>
          <w:sz w:val="30"/>
          <w:szCs w:val="30"/>
        </w:rPr>
      </w:pPr>
      <w:r>
        <w:rPr>
          <w:rFonts w:hint="eastAsia" w:ascii="楷体_GB2312" w:eastAsia="楷体_GB2312"/>
          <w:b/>
          <w:sz w:val="30"/>
          <w:szCs w:val="30"/>
        </w:rPr>
        <w:t>（一）机关运行经费支出情况</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上海市松江区九亭镇住房保障和房屋管理事务所</w:t>
      </w:r>
      <w:r>
        <w:rPr>
          <w:rFonts w:hint="eastAsia" w:ascii="仿宋_GB2312" w:eastAsia="仿宋_GB2312"/>
          <w:sz w:val="30"/>
          <w:szCs w:val="30"/>
        </w:rPr>
        <w:t>2021年度无机关运行经费支出。</w:t>
      </w:r>
    </w:p>
    <w:p>
      <w:pPr>
        <w:ind w:firstLine="602" w:firstLineChars="200"/>
        <w:outlineLvl w:val="0"/>
        <w:rPr>
          <w:rFonts w:ascii="楷体_GB2312" w:hAnsi="宋体" w:eastAsia="楷体_GB2312" w:cs="楷体"/>
          <w:b/>
          <w:bCs/>
          <w:sz w:val="30"/>
          <w:szCs w:val="30"/>
        </w:rPr>
      </w:pPr>
      <w:r>
        <w:rPr>
          <w:rFonts w:hint="eastAsia" w:ascii="楷体_GB2312" w:hAnsi="宋体" w:eastAsia="楷体_GB2312" w:cs="楷体"/>
          <w:b/>
          <w:bCs/>
          <w:sz w:val="30"/>
          <w:szCs w:val="30"/>
        </w:rPr>
        <w:t>（二）政府采购支出情况</w:t>
      </w:r>
    </w:p>
    <w:p>
      <w:pPr>
        <w:ind w:firstLine="600" w:firstLineChars="200"/>
        <w:rPr>
          <w:rFonts w:ascii="仿宋_GB2312" w:eastAsia="仿宋_GB2312"/>
          <w:color w:val="000000"/>
          <w:sz w:val="30"/>
          <w:szCs w:val="30"/>
        </w:rPr>
      </w:pPr>
      <w:r>
        <w:rPr>
          <w:rFonts w:ascii="Times New Roman" w:hAnsi="Times New Roman" w:eastAsia="仿宋_GB2312" w:cs="Times New Roman"/>
          <w:color w:val="000000"/>
          <w:sz w:val="30"/>
          <w:szCs w:val="30"/>
        </w:rPr>
        <w:t>上海市松江区九亭镇住房保障和房屋管理事务所</w:t>
      </w:r>
      <w:r>
        <w:rPr>
          <w:rFonts w:hint="eastAsia" w:ascii="仿宋_GB2312" w:eastAsia="仿宋_GB2312"/>
          <w:color w:val="000000"/>
          <w:sz w:val="30"/>
          <w:szCs w:val="30"/>
        </w:rPr>
        <w:t>2021年度政府采购金额（以合同签订为准）为78.09万元，其中：政府采购服务支出78.09万元。</w:t>
      </w:r>
    </w:p>
    <w:p>
      <w:pPr>
        <w:widowControl/>
        <w:ind w:firstLine="602" w:firstLineChars="200"/>
        <w:jc w:val="left"/>
        <w:outlineLvl w:val="0"/>
        <w:rPr>
          <w:rFonts w:ascii="楷体_GB2312" w:hAnsi="宋体" w:eastAsia="楷体_GB2312" w:cs="楷体"/>
          <w:b/>
          <w:bCs/>
          <w:kern w:val="0"/>
          <w:sz w:val="30"/>
          <w:szCs w:val="30"/>
        </w:rPr>
      </w:pPr>
      <w:r>
        <w:rPr>
          <w:rFonts w:hint="eastAsia" w:ascii="楷体_GB2312" w:hAnsi="宋体" w:eastAsia="楷体_GB2312" w:cs="楷体"/>
          <w:b/>
          <w:bCs/>
          <w:kern w:val="0"/>
          <w:sz w:val="30"/>
          <w:szCs w:val="30"/>
        </w:rPr>
        <w:t>（三）车辆、房屋特殊占用情况</w:t>
      </w:r>
    </w:p>
    <w:p>
      <w:pPr>
        <w:spacing w:line="570" w:lineRule="exact"/>
        <w:ind w:firstLine="600" w:firstLineChars="200"/>
        <w:rPr>
          <w:rFonts w:ascii="仿宋_GB2312" w:eastAsia="仿宋_GB2312"/>
          <w:sz w:val="30"/>
          <w:szCs w:val="30"/>
        </w:rPr>
      </w:pPr>
      <w:r>
        <w:rPr>
          <w:rFonts w:hint="eastAsia" w:ascii="仿宋_GB2312" w:eastAsia="仿宋_GB2312"/>
          <w:sz w:val="30"/>
          <w:szCs w:val="30"/>
        </w:rPr>
        <w:t>上海市松江区九亭镇住房保障和房屋管理事务所2021年度无车辆/房屋特殊占用情况说明。</w:t>
      </w:r>
    </w:p>
    <w:p>
      <w:pPr>
        <w:jc w:val="center"/>
        <w:rPr>
          <w:rFonts w:ascii="黑体" w:eastAsia="黑体"/>
          <w:sz w:val="30"/>
          <w:szCs w:val="30"/>
        </w:rPr>
      </w:pPr>
      <w:r>
        <w:br w:type="page"/>
      </w:r>
      <w:r>
        <w:rPr>
          <w:rFonts w:hint="eastAsia" w:ascii="黑体" w:eastAsia="黑体"/>
          <w:sz w:val="30"/>
          <w:szCs w:val="30"/>
        </w:rPr>
        <w:t>第四部分    名词解释</w:t>
      </w:r>
    </w:p>
    <w:p>
      <w:pPr>
        <w:rPr>
          <w:rFonts w:ascii="仿宋_GB2312" w:hAnsi="宋体" w:eastAsia="仿宋_GB2312" w:cs="仿宋_GB2312"/>
          <w:color w:val="000000"/>
          <w:sz w:val="30"/>
          <w:szCs w:val="30"/>
        </w:rPr>
      </w:pPr>
    </w:p>
    <w:p>
      <w:pPr>
        <w:ind w:firstLine="600" w:firstLineChars="200"/>
        <w:rPr>
          <w:rFonts w:ascii="仿宋_GB2312" w:eastAsia="仿宋_GB2312"/>
          <w:sz w:val="30"/>
          <w:szCs w:val="30"/>
        </w:rPr>
      </w:pPr>
      <w:r>
        <w:rPr>
          <w:rFonts w:hint="eastAsia" w:ascii="仿宋_GB2312" w:eastAsia="仿宋_GB2312"/>
          <w:sz w:val="30"/>
          <w:szCs w:val="30"/>
        </w:rPr>
        <w:t>一、财政拨款收入：指单位本年度从本级财政部门取得的财政拨款，包括一般公共预算财政拨款、政府性基金预算财政拨款和国有资本经营预算财政拨款。</w:t>
      </w:r>
    </w:p>
    <w:p>
      <w:pPr>
        <w:ind w:firstLine="600" w:firstLineChars="200"/>
        <w:rPr>
          <w:rFonts w:ascii="仿宋_GB2312" w:eastAsia="仿宋_GB2312"/>
          <w:sz w:val="30"/>
          <w:szCs w:val="30"/>
        </w:rPr>
      </w:pPr>
      <w:r>
        <w:rPr>
          <w:rFonts w:hint="eastAsia" w:ascii="仿宋_GB2312" w:eastAsia="仿宋_GB2312"/>
          <w:sz w:val="30"/>
          <w:szCs w:val="30"/>
        </w:rPr>
        <w:t>二、事业收入：指事业单位开展专业业务活动及其辅助活动取得的收入。主要是：XXXXXXXX收入等（无事业收入的单位保留事业收入的名词解释，但不列举主要内容，以下同）。</w:t>
      </w:r>
    </w:p>
    <w:p>
      <w:pPr>
        <w:ind w:firstLine="600" w:firstLineChars="200"/>
        <w:rPr>
          <w:rFonts w:ascii="仿宋_GB2312" w:eastAsia="仿宋_GB2312"/>
          <w:sz w:val="30"/>
          <w:szCs w:val="30"/>
        </w:rPr>
      </w:pPr>
      <w:r>
        <w:rPr>
          <w:rFonts w:hint="eastAsia" w:ascii="仿宋_GB2312" w:eastAsia="仿宋_GB2312"/>
          <w:sz w:val="30"/>
          <w:szCs w:val="30"/>
        </w:rPr>
        <w:t>三、经营收入：指事业单位在专业业务活动及其辅助活动之外开展非独立核算经营活动取得的收入。主要是：XXXXXXXX收入等。</w:t>
      </w:r>
    </w:p>
    <w:p>
      <w:pPr>
        <w:ind w:firstLine="600" w:firstLineChars="200"/>
        <w:rPr>
          <w:rFonts w:ascii="仿宋_GB2312" w:eastAsia="仿宋_GB2312"/>
          <w:sz w:val="30"/>
          <w:szCs w:val="30"/>
        </w:rPr>
      </w:pPr>
      <w:r>
        <w:rPr>
          <w:rFonts w:hint="eastAsia" w:ascii="仿宋_GB2312" w:eastAsia="仿宋_GB2312"/>
          <w:sz w:val="30"/>
          <w:szCs w:val="30"/>
        </w:rPr>
        <w:t>四、其他收入：指单位取得的除“财政拨款收入”、“事业收入”、“经营收入”等以外的收入。主要是：XXXXXXXX收入等。</w:t>
      </w:r>
    </w:p>
    <w:p>
      <w:pPr>
        <w:ind w:firstLine="600" w:firstLineChars="200"/>
        <w:rPr>
          <w:rFonts w:ascii="仿宋_GB2312" w:eastAsia="仿宋_GB2312"/>
          <w:sz w:val="30"/>
          <w:szCs w:val="30"/>
        </w:rPr>
      </w:pPr>
      <w:r>
        <w:rPr>
          <w:rFonts w:hint="eastAsia" w:ascii="仿宋_GB2312" w:eastAsia="仿宋_GB2312"/>
          <w:sz w:val="30"/>
          <w:szCs w:val="30"/>
        </w:rPr>
        <w:t>五、年初结转和结余：指以前年度尚未完成、结转到本年按有关规定继续使用的资金。</w:t>
      </w:r>
    </w:p>
    <w:p>
      <w:pPr>
        <w:ind w:firstLine="600" w:firstLineChars="200"/>
        <w:rPr>
          <w:rFonts w:ascii="仿宋_GB2312" w:eastAsia="仿宋_GB2312"/>
          <w:sz w:val="30"/>
          <w:szCs w:val="30"/>
        </w:rPr>
      </w:pPr>
      <w:r>
        <w:rPr>
          <w:rFonts w:hint="eastAsia" w:ascii="仿宋_GB2312" w:eastAsia="仿宋_GB2312"/>
          <w:sz w:val="30"/>
          <w:szCs w:val="30"/>
        </w:rPr>
        <w:t>六、年末结转和结余：指本年度或以前年度预算安排、因客观条件发生变化无法按原计划实施，需延迟到以后年度按有关规定继续使用的资金。</w:t>
      </w:r>
    </w:p>
    <w:p>
      <w:pPr>
        <w:ind w:firstLine="600" w:firstLineChars="200"/>
        <w:rPr>
          <w:rFonts w:ascii="仿宋_GB2312" w:eastAsia="仿宋_GB2312"/>
          <w:sz w:val="30"/>
          <w:szCs w:val="30"/>
        </w:rPr>
      </w:pPr>
      <w:r>
        <w:rPr>
          <w:rFonts w:hint="eastAsia" w:ascii="仿宋_GB2312" w:eastAsia="仿宋_GB2312"/>
          <w:sz w:val="30"/>
          <w:szCs w:val="30"/>
        </w:rPr>
        <w:t>七、基本支出：指单位为保障机构正常运转、完成日常工作任务而发生的各项支出。</w:t>
      </w:r>
    </w:p>
    <w:p>
      <w:pPr>
        <w:ind w:firstLine="600" w:firstLineChars="200"/>
        <w:rPr>
          <w:rFonts w:ascii="仿宋_GB2312" w:eastAsia="仿宋_GB2312"/>
          <w:sz w:val="30"/>
          <w:szCs w:val="30"/>
        </w:rPr>
      </w:pPr>
      <w:r>
        <w:rPr>
          <w:rFonts w:hint="eastAsia" w:ascii="仿宋_GB2312" w:eastAsia="仿宋_GB2312"/>
          <w:sz w:val="30"/>
          <w:szCs w:val="30"/>
        </w:rPr>
        <w:t>八、项目支出：指单位为完成特定的行政工作任务或事业发展目标，在基本支出之外发生的各项支出。</w:t>
      </w:r>
    </w:p>
    <w:p>
      <w:pPr>
        <w:ind w:firstLine="600" w:firstLineChars="200"/>
        <w:rPr>
          <w:rFonts w:ascii="仿宋_GB2312" w:eastAsia="仿宋_GB2312"/>
          <w:sz w:val="30"/>
          <w:szCs w:val="30"/>
        </w:rPr>
      </w:pPr>
      <w:r>
        <w:rPr>
          <w:rFonts w:hint="eastAsia" w:ascii="仿宋_GB2312" w:eastAsia="仿宋_GB2312"/>
          <w:sz w:val="30"/>
          <w:szCs w:val="30"/>
        </w:rPr>
        <w:t>九、经营支出：指事业单位在专业活动及辅助活动之外开展非独立核算经营活动发生的支出。</w:t>
      </w:r>
    </w:p>
    <w:p>
      <w:pPr>
        <w:ind w:firstLine="600" w:firstLineChars="200"/>
        <w:rPr>
          <w:rFonts w:ascii="仿宋_GB2312" w:eastAsia="仿宋_GB2312"/>
          <w:sz w:val="30"/>
          <w:szCs w:val="30"/>
        </w:rPr>
      </w:pPr>
      <w:r>
        <w:rPr>
          <w:rFonts w:hint="eastAsia" w:ascii="仿宋_GB2312" w:eastAsia="仿宋_GB2312"/>
          <w:sz w:val="30"/>
          <w:szCs w:val="30"/>
        </w:rPr>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pPr>
        <w:ind w:firstLine="600" w:firstLineChars="200"/>
        <w:rPr>
          <w:rFonts w:ascii="仿宋_GB2312" w:eastAsia="仿宋_GB2312"/>
          <w:sz w:val="30"/>
          <w:szCs w:val="30"/>
        </w:rPr>
      </w:pPr>
      <w:r>
        <w:rPr>
          <w:rFonts w:hint="eastAsia" w:ascii="仿宋_GB2312" w:eastAsia="仿宋_GB2312"/>
          <w:sz w:val="30"/>
          <w:szCs w:val="30"/>
        </w:rPr>
        <w:t>十一、机关运行经费：指行政单位和参照公务员法管理的事业单位使用一般公共预算财政拨款安排的基本支出中的日常公用经费支出。</w:t>
      </w:r>
    </w:p>
    <w:p>
      <w:pPr>
        <w:ind w:firstLine="600" w:firstLineChars="200"/>
        <w:rPr>
          <w:rFonts w:ascii="仿宋_GB2312" w:eastAsia="仿宋_GB2312"/>
          <w:sz w:val="30"/>
          <w:szCs w:val="30"/>
        </w:rPr>
      </w:pPr>
    </w:p>
    <w:sectPr>
      <w:headerReference r:id="rId7" w:type="default"/>
      <w:footerReference r:id="rId8"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consecutiveHyphenLimit w:val="46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yNDE0NmVjZTNmNTcxNDI1M2E1MWY0NDliYThhYmIifQ=="/>
  </w:docVars>
  <w:rsids>
    <w:rsidRoot w:val="00C16F9C"/>
    <w:rsid w:val="000010A2"/>
    <w:rsid w:val="00002988"/>
    <w:rsid w:val="00002ED2"/>
    <w:rsid w:val="00003679"/>
    <w:rsid w:val="000064FD"/>
    <w:rsid w:val="00006C3B"/>
    <w:rsid w:val="00007041"/>
    <w:rsid w:val="000101D4"/>
    <w:rsid w:val="00012850"/>
    <w:rsid w:val="000165D1"/>
    <w:rsid w:val="000167BE"/>
    <w:rsid w:val="00020097"/>
    <w:rsid w:val="000208A2"/>
    <w:rsid w:val="00021C1B"/>
    <w:rsid w:val="00023598"/>
    <w:rsid w:val="00031247"/>
    <w:rsid w:val="0003212E"/>
    <w:rsid w:val="00033C55"/>
    <w:rsid w:val="00035D35"/>
    <w:rsid w:val="00035E5A"/>
    <w:rsid w:val="0003612C"/>
    <w:rsid w:val="00037B07"/>
    <w:rsid w:val="00041AC9"/>
    <w:rsid w:val="00043425"/>
    <w:rsid w:val="0004364F"/>
    <w:rsid w:val="0004551F"/>
    <w:rsid w:val="00047570"/>
    <w:rsid w:val="00047A6F"/>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FED"/>
    <w:rsid w:val="00073F78"/>
    <w:rsid w:val="00074B5A"/>
    <w:rsid w:val="0007769B"/>
    <w:rsid w:val="00080808"/>
    <w:rsid w:val="000826F2"/>
    <w:rsid w:val="0008408C"/>
    <w:rsid w:val="00086E91"/>
    <w:rsid w:val="000903AC"/>
    <w:rsid w:val="0009084B"/>
    <w:rsid w:val="00091E55"/>
    <w:rsid w:val="0009385E"/>
    <w:rsid w:val="00093A8F"/>
    <w:rsid w:val="000947B3"/>
    <w:rsid w:val="000958A6"/>
    <w:rsid w:val="000958D6"/>
    <w:rsid w:val="000979C9"/>
    <w:rsid w:val="00097DB9"/>
    <w:rsid w:val="000A171F"/>
    <w:rsid w:val="000A22AD"/>
    <w:rsid w:val="000A3E0F"/>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6B76"/>
    <w:rsid w:val="000C708D"/>
    <w:rsid w:val="000C779A"/>
    <w:rsid w:val="000C7E6D"/>
    <w:rsid w:val="000D0016"/>
    <w:rsid w:val="000D06BF"/>
    <w:rsid w:val="000D0979"/>
    <w:rsid w:val="000D19D0"/>
    <w:rsid w:val="000D28FB"/>
    <w:rsid w:val="000D4BFC"/>
    <w:rsid w:val="000D5F94"/>
    <w:rsid w:val="000D5FC4"/>
    <w:rsid w:val="000D7C36"/>
    <w:rsid w:val="000E0A17"/>
    <w:rsid w:val="000E10BE"/>
    <w:rsid w:val="000E5A63"/>
    <w:rsid w:val="000E6A47"/>
    <w:rsid w:val="000F1D18"/>
    <w:rsid w:val="000F311B"/>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2900"/>
    <w:rsid w:val="00122C3E"/>
    <w:rsid w:val="0012517D"/>
    <w:rsid w:val="00127ED4"/>
    <w:rsid w:val="00130627"/>
    <w:rsid w:val="0013064E"/>
    <w:rsid w:val="00131018"/>
    <w:rsid w:val="0013214F"/>
    <w:rsid w:val="00136A4E"/>
    <w:rsid w:val="00136B2A"/>
    <w:rsid w:val="00140021"/>
    <w:rsid w:val="00141D03"/>
    <w:rsid w:val="00141F0E"/>
    <w:rsid w:val="00142799"/>
    <w:rsid w:val="00142D38"/>
    <w:rsid w:val="0014303B"/>
    <w:rsid w:val="00143A17"/>
    <w:rsid w:val="00143AD4"/>
    <w:rsid w:val="001446B1"/>
    <w:rsid w:val="00146084"/>
    <w:rsid w:val="0014660F"/>
    <w:rsid w:val="001508EE"/>
    <w:rsid w:val="001515AA"/>
    <w:rsid w:val="001534D6"/>
    <w:rsid w:val="00154DE5"/>
    <w:rsid w:val="001554E0"/>
    <w:rsid w:val="00156432"/>
    <w:rsid w:val="0016209F"/>
    <w:rsid w:val="0016220D"/>
    <w:rsid w:val="00164147"/>
    <w:rsid w:val="001656C0"/>
    <w:rsid w:val="00172F09"/>
    <w:rsid w:val="00173550"/>
    <w:rsid w:val="00173DA6"/>
    <w:rsid w:val="001766FA"/>
    <w:rsid w:val="001769B1"/>
    <w:rsid w:val="00176A90"/>
    <w:rsid w:val="00180D9A"/>
    <w:rsid w:val="00183ED7"/>
    <w:rsid w:val="00186F8E"/>
    <w:rsid w:val="00187137"/>
    <w:rsid w:val="001872EB"/>
    <w:rsid w:val="00191774"/>
    <w:rsid w:val="00191A67"/>
    <w:rsid w:val="00194642"/>
    <w:rsid w:val="00195455"/>
    <w:rsid w:val="0019579F"/>
    <w:rsid w:val="001968DB"/>
    <w:rsid w:val="001A07BB"/>
    <w:rsid w:val="001A104B"/>
    <w:rsid w:val="001A1F2C"/>
    <w:rsid w:val="001A3BE8"/>
    <w:rsid w:val="001A5EFD"/>
    <w:rsid w:val="001B11F6"/>
    <w:rsid w:val="001B26E7"/>
    <w:rsid w:val="001B37B0"/>
    <w:rsid w:val="001B3D4C"/>
    <w:rsid w:val="001B4775"/>
    <w:rsid w:val="001B7C79"/>
    <w:rsid w:val="001C1F26"/>
    <w:rsid w:val="001C3948"/>
    <w:rsid w:val="001C47B5"/>
    <w:rsid w:val="001C62E9"/>
    <w:rsid w:val="001D3AAB"/>
    <w:rsid w:val="001D4EC8"/>
    <w:rsid w:val="001E067D"/>
    <w:rsid w:val="001E1779"/>
    <w:rsid w:val="001E34DB"/>
    <w:rsid w:val="001E44A8"/>
    <w:rsid w:val="001E5F9A"/>
    <w:rsid w:val="001E7BB7"/>
    <w:rsid w:val="001F089A"/>
    <w:rsid w:val="001F189C"/>
    <w:rsid w:val="001F28D4"/>
    <w:rsid w:val="001F3273"/>
    <w:rsid w:val="001F3370"/>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09E0"/>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53A2A"/>
    <w:rsid w:val="00254711"/>
    <w:rsid w:val="00254B2C"/>
    <w:rsid w:val="0025636D"/>
    <w:rsid w:val="0026183C"/>
    <w:rsid w:val="002619FB"/>
    <w:rsid w:val="00262C38"/>
    <w:rsid w:val="00263261"/>
    <w:rsid w:val="002634CF"/>
    <w:rsid w:val="002701C8"/>
    <w:rsid w:val="00270260"/>
    <w:rsid w:val="002704C9"/>
    <w:rsid w:val="00272684"/>
    <w:rsid w:val="00273C49"/>
    <w:rsid w:val="0027491C"/>
    <w:rsid w:val="00276C4D"/>
    <w:rsid w:val="00277371"/>
    <w:rsid w:val="00280B87"/>
    <w:rsid w:val="0028405E"/>
    <w:rsid w:val="00285D63"/>
    <w:rsid w:val="0028633A"/>
    <w:rsid w:val="00286DC8"/>
    <w:rsid w:val="0029203B"/>
    <w:rsid w:val="002921F1"/>
    <w:rsid w:val="00292A6E"/>
    <w:rsid w:val="00293D9E"/>
    <w:rsid w:val="00294309"/>
    <w:rsid w:val="0029507A"/>
    <w:rsid w:val="00296A54"/>
    <w:rsid w:val="002A30F6"/>
    <w:rsid w:val="002A4B66"/>
    <w:rsid w:val="002B0E91"/>
    <w:rsid w:val="002B4FF1"/>
    <w:rsid w:val="002B5375"/>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1102"/>
    <w:rsid w:val="002E2864"/>
    <w:rsid w:val="002E32D3"/>
    <w:rsid w:val="002E3B1F"/>
    <w:rsid w:val="002E4D33"/>
    <w:rsid w:val="002E5A4F"/>
    <w:rsid w:val="002E5F5F"/>
    <w:rsid w:val="002F26C5"/>
    <w:rsid w:val="002F38C1"/>
    <w:rsid w:val="002F4CC6"/>
    <w:rsid w:val="002F6A75"/>
    <w:rsid w:val="002F6F58"/>
    <w:rsid w:val="00301C60"/>
    <w:rsid w:val="0030375D"/>
    <w:rsid w:val="003050E9"/>
    <w:rsid w:val="0030523D"/>
    <w:rsid w:val="003064AF"/>
    <w:rsid w:val="00306C92"/>
    <w:rsid w:val="00307829"/>
    <w:rsid w:val="00310BF7"/>
    <w:rsid w:val="00311EDB"/>
    <w:rsid w:val="0031266F"/>
    <w:rsid w:val="003225E3"/>
    <w:rsid w:val="00322C22"/>
    <w:rsid w:val="003251C0"/>
    <w:rsid w:val="00325745"/>
    <w:rsid w:val="00335376"/>
    <w:rsid w:val="00336006"/>
    <w:rsid w:val="00340316"/>
    <w:rsid w:val="00341AF7"/>
    <w:rsid w:val="00344132"/>
    <w:rsid w:val="00345385"/>
    <w:rsid w:val="003459F6"/>
    <w:rsid w:val="00345F2B"/>
    <w:rsid w:val="00346621"/>
    <w:rsid w:val="003509C9"/>
    <w:rsid w:val="00351D77"/>
    <w:rsid w:val="0035377F"/>
    <w:rsid w:val="003544FF"/>
    <w:rsid w:val="00354B78"/>
    <w:rsid w:val="00360A40"/>
    <w:rsid w:val="003618C7"/>
    <w:rsid w:val="00361DE7"/>
    <w:rsid w:val="00363F02"/>
    <w:rsid w:val="00364532"/>
    <w:rsid w:val="00374A62"/>
    <w:rsid w:val="00376E08"/>
    <w:rsid w:val="00380C62"/>
    <w:rsid w:val="00380D67"/>
    <w:rsid w:val="003816B7"/>
    <w:rsid w:val="00382637"/>
    <w:rsid w:val="0038380C"/>
    <w:rsid w:val="003854B6"/>
    <w:rsid w:val="00387CF1"/>
    <w:rsid w:val="00393705"/>
    <w:rsid w:val="00395102"/>
    <w:rsid w:val="00397453"/>
    <w:rsid w:val="0039774D"/>
    <w:rsid w:val="003A01E9"/>
    <w:rsid w:val="003A124D"/>
    <w:rsid w:val="003A2371"/>
    <w:rsid w:val="003A27A9"/>
    <w:rsid w:val="003A374B"/>
    <w:rsid w:val="003A3E6F"/>
    <w:rsid w:val="003A4F06"/>
    <w:rsid w:val="003A5D6A"/>
    <w:rsid w:val="003A5F20"/>
    <w:rsid w:val="003B0BFE"/>
    <w:rsid w:val="003B30B1"/>
    <w:rsid w:val="003B4921"/>
    <w:rsid w:val="003B5A5E"/>
    <w:rsid w:val="003B60AE"/>
    <w:rsid w:val="003B7339"/>
    <w:rsid w:val="003C1187"/>
    <w:rsid w:val="003C154D"/>
    <w:rsid w:val="003C22A3"/>
    <w:rsid w:val="003C25E6"/>
    <w:rsid w:val="003C3510"/>
    <w:rsid w:val="003C5D5A"/>
    <w:rsid w:val="003D105F"/>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327A"/>
    <w:rsid w:val="0040496A"/>
    <w:rsid w:val="00404C24"/>
    <w:rsid w:val="0041179B"/>
    <w:rsid w:val="004120F9"/>
    <w:rsid w:val="004137D5"/>
    <w:rsid w:val="00413BA4"/>
    <w:rsid w:val="00413BD6"/>
    <w:rsid w:val="00414CCC"/>
    <w:rsid w:val="004207EA"/>
    <w:rsid w:val="00425053"/>
    <w:rsid w:val="00427FED"/>
    <w:rsid w:val="004302CC"/>
    <w:rsid w:val="00434279"/>
    <w:rsid w:val="004343EE"/>
    <w:rsid w:val="00434CF0"/>
    <w:rsid w:val="00436DA8"/>
    <w:rsid w:val="00437475"/>
    <w:rsid w:val="00437987"/>
    <w:rsid w:val="00441ECE"/>
    <w:rsid w:val="004432A1"/>
    <w:rsid w:val="004442FE"/>
    <w:rsid w:val="004570C9"/>
    <w:rsid w:val="00457B7A"/>
    <w:rsid w:val="0046293A"/>
    <w:rsid w:val="00463639"/>
    <w:rsid w:val="00463D8B"/>
    <w:rsid w:val="00464C8F"/>
    <w:rsid w:val="00465A04"/>
    <w:rsid w:val="00465D76"/>
    <w:rsid w:val="00470E43"/>
    <w:rsid w:val="00470F08"/>
    <w:rsid w:val="00474D24"/>
    <w:rsid w:val="00482129"/>
    <w:rsid w:val="00482729"/>
    <w:rsid w:val="00483358"/>
    <w:rsid w:val="00483D82"/>
    <w:rsid w:val="0048515D"/>
    <w:rsid w:val="00485D5A"/>
    <w:rsid w:val="00487460"/>
    <w:rsid w:val="00487BEB"/>
    <w:rsid w:val="00492643"/>
    <w:rsid w:val="00493622"/>
    <w:rsid w:val="004A0B67"/>
    <w:rsid w:val="004A1499"/>
    <w:rsid w:val="004A3478"/>
    <w:rsid w:val="004A4DAA"/>
    <w:rsid w:val="004B292F"/>
    <w:rsid w:val="004B5BEE"/>
    <w:rsid w:val="004B6C28"/>
    <w:rsid w:val="004C0988"/>
    <w:rsid w:val="004C0EF4"/>
    <w:rsid w:val="004C1E66"/>
    <w:rsid w:val="004C3858"/>
    <w:rsid w:val="004C546F"/>
    <w:rsid w:val="004D2C36"/>
    <w:rsid w:val="004D2E66"/>
    <w:rsid w:val="004D2F58"/>
    <w:rsid w:val="004D48D2"/>
    <w:rsid w:val="004D4B0D"/>
    <w:rsid w:val="004D6F06"/>
    <w:rsid w:val="004E025D"/>
    <w:rsid w:val="004E4347"/>
    <w:rsid w:val="004E7251"/>
    <w:rsid w:val="004E73AE"/>
    <w:rsid w:val="004F09FD"/>
    <w:rsid w:val="004F0B57"/>
    <w:rsid w:val="004F194C"/>
    <w:rsid w:val="004F4944"/>
    <w:rsid w:val="004F4BD8"/>
    <w:rsid w:val="004F722A"/>
    <w:rsid w:val="00500CD7"/>
    <w:rsid w:val="00502343"/>
    <w:rsid w:val="005032A6"/>
    <w:rsid w:val="005035EF"/>
    <w:rsid w:val="00504423"/>
    <w:rsid w:val="0050534A"/>
    <w:rsid w:val="005054CA"/>
    <w:rsid w:val="00505E0C"/>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3378E"/>
    <w:rsid w:val="005357B4"/>
    <w:rsid w:val="00535A17"/>
    <w:rsid w:val="00535F61"/>
    <w:rsid w:val="005408B6"/>
    <w:rsid w:val="00542E35"/>
    <w:rsid w:val="005446B5"/>
    <w:rsid w:val="00544BF2"/>
    <w:rsid w:val="00545F63"/>
    <w:rsid w:val="00553F8F"/>
    <w:rsid w:val="00555346"/>
    <w:rsid w:val="005560DA"/>
    <w:rsid w:val="00556A72"/>
    <w:rsid w:val="00556B86"/>
    <w:rsid w:val="005571D0"/>
    <w:rsid w:val="00560667"/>
    <w:rsid w:val="0056370D"/>
    <w:rsid w:val="00563E0B"/>
    <w:rsid w:val="005644D5"/>
    <w:rsid w:val="005665B2"/>
    <w:rsid w:val="00566CF7"/>
    <w:rsid w:val="00566DE7"/>
    <w:rsid w:val="00567288"/>
    <w:rsid w:val="00571038"/>
    <w:rsid w:val="005713E6"/>
    <w:rsid w:val="0057315A"/>
    <w:rsid w:val="00574E3B"/>
    <w:rsid w:val="00580D6D"/>
    <w:rsid w:val="005816F8"/>
    <w:rsid w:val="00582341"/>
    <w:rsid w:val="0058360B"/>
    <w:rsid w:val="0059093C"/>
    <w:rsid w:val="005932A7"/>
    <w:rsid w:val="00593BAE"/>
    <w:rsid w:val="00596EF9"/>
    <w:rsid w:val="005979E1"/>
    <w:rsid w:val="005979E4"/>
    <w:rsid w:val="00597D5D"/>
    <w:rsid w:val="005A27E9"/>
    <w:rsid w:val="005A2D7C"/>
    <w:rsid w:val="005A49AB"/>
    <w:rsid w:val="005A57FB"/>
    <w:rsid w:val="005A767E"/>
    <w:rsid w:val="005B0B3A"/>
    <w:rsid w:val="005B1441"/>
    <w:rsid w:val="005B46B8"/>
    <w:rsid w:val="005B4833"/>
    <w:rsid w:val="005C1A05"/>
    <w:rsid w:val="005C46F6"/>
    <w:rsid w:val="005C64CC"/>
    <w:rsid w:val="005D4C55"/>
    <w:rsid w:val="005D67C5"/>
    <w:rsid w:val="005E0BCB"/>
    <w:rsid w:val="005E10A1"/>
    <w:rsid w:val="005E14D1"/>
    <w:rsid w:val="005E4687"/>
    <w:rsid w:val="005E4B94"/>
    <w:rsid w:val="005E6F92"/>
    <w:rsid w:val="005F0A33"/>
    <w:rsid w:val="005F1AED"/>
    <w:rsid w:val="005F3F23"/>
    <w:rsid w:val="005F76C0"/>
    <w:rsid w:val="006002E8"/>
    <w:rsid w:val="00600344"/>
    <w:rsid w:val="00600A7C"/>
    <w:rsid w:val="00601472"/>
    <w:rsid w:val="00601891"/>
    <w:rsid w:val="00602AA4"/>
    <w:rsid w:val="00602B15"/>
    <w:rsid w:val="00606C5B"/>
    <w:rsid w:val="00610435"/>
    <w:rsid w:val="00612CE0"/>
    <w:rsid w:val="006132C0"/>
    <w:rsid w:val="00615A27"/>
    <w:rsid w:val="0061795B"/>
    <w:rsid w:val="006216CB"/>
    <w:rsid w:val="006220CA"/>
    <w:rsid w:val="00624E7E"/>
    <w:rsid w:val="00630105"/>
    <w:rsid w:val="00631754"/>
    <w:rsid w:val="0063448D"/>
    <w:rsid w:val="0063511A"/>
    <w:rsid w:val="006352FC"/>
    <w:rsid w:val="00635E93"/>
    <w:rsid w:val="006376A5"/>
    <w:rsid w:val="00640C33"/>
    <w:rsid w:val="00640F31"/>
    <w:rsid w:val="00641563"/>
    <w:rsid w:val="00642292"/>
    <w:rsid w:val="00645030"/>
    <w:rsid w:val="006450EA"/>
    <w:rsid w:val="006462F5"/>
    <w:rsid w:val="0064731C"/>
    <w:rsid w:val="0064784E"/>
    <w:rsid w:val="00647AFD"/>
    <w:rsid w:val="00653036"/>
    <w:rsid w:val="00656D51"/>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90628"/>
    <w:rsid w:val="0069552C"/>
    <w:rsid w:val="006955D4"/>
    <w:rsid w:val="00697C41"/>
    <w:rsid w:val="006A12B3"/>
    <w:rsid w:val="006A14EA"/>
    <w:rsid w:val="006A1E39"/>
    <w:rsid w:val="006A2541"/>
    <w:rsid w:val="006A286A"/>
    <w:rsid w:val="006B2BF8"/>
    <w:rsid w:val="006B5701"/>
    <w:rsid w:val="006B6FEF"/>
    <w:rsid w:val="006B7AB8"/>
    <w:rsid w:val="006C132F"/>
    <w:rsid w:val="006C1AEB"/>
    <w:rsid w:val="006C1BB7"/>
    <w:rsid w:val="006C5F19"/>
    <w:rsid w:val="006C6A9C"/>
    <w:rsid w:val="006C6D80"/>
    <w:rsid w:val="006D607B"/>
    <w:rsid w:val="006D6ED7"/>
    <w:rsid w:val="006D779F"/>
    <w:rsid w:val="006D78BB"/>
    <w:rsid w:val="006D7E31"/>
    <w:rsid w:val="006E477E"/>
    <w:rsid w:val="006E5C32"/>
    <w:rsid w:val="006E6E2C"/>
    <w:rsid w:val="006E72AD"/>
    <w:rsid w:val="006E7B8B"/>
    <w:rsid w:val="006F099C"/>
    <w:rsid w:val="006F19A0"/>
    <w:rsid w:val="006F1B15"/>
    <w:rsid w:val="006F2704"/>
    <w:rsid w:val="006F7034"/>
    <w:rsid w:val="00701E27"/>
    <w:rsid w:val="00701E32"/>
    <w:rsid w:val="00706E08"/>
    <w:rsid w:val="00711701"/>
    <w:rsid w:val="00713CB1"/>
    <w:rsid w:val="00716F0A"/>
    <w:rsid w:val="00717003"/>
    <w:rsid w:val="0071725F"/>
    <w:rsid w:val="0072067E"/>
    <w:rsid w:val="00723235"/>
    <w:rsid w:val="00730B0B"/>
    <w:rsid w:val="00735856"/>
    <w:rsid w:val="0073637A"/>
    <w:rsid w:val="00736F34"/>
    <w:rsid w:val="00737FFA"/>
    <w:rsid w:val="00740376"/>
    <w:rsid w:val="00743163"/>
    <w:rsid w:val="0074470D"/>
    <w:rsid w:val="007476FC"/>
    <w:rsid w:val="00747D81"/>
    <w:rsid w:val="00750890"/>
    <w:rsid w:val="00751BDD"/>
    <w:rsid w:val="00754673"/>
    <w:rsid w:val="00760A80"/>
    <w:rsid w:val="00763ED7"/>
    <w:rsid w:val="0076424F"/>
    <w:rsid w:val="00764471"/>
    <w:rsid w:val="00765002"/>
    <w:rsid w:val="00766DD3"/>
    <w:rsid w:val="007673FF"/>
    <w:rsid w:val="007706CB"/>
    <w:rsid w:val="007721FB"/>
    <w:rsid w:val="00772D07"/>
    <w:rsid w:val="00773C26"/>
    <w:rsid w:val="00775230"/>
    <w:rsid w:val="007772D8"/>
    <w:rsid w:val="00777883"/>
    <w:rsid w:val="00780072"/>
    <w:rsid w:val="00782AD5"/>
    <w:rsid w:val="007832B8"/>
    <w:rsid w:val="00784315"/>
    <w:rsid w:val="007843D6"/>
    <w:rsid w:val="00787084"/>
    <w:rsid w:val="007914B3"/>
    <w:rsid w:val="0079179F"/>
    <w:rsid w:val="00792264"/>
    <w:rsid w:val="00793282"/>
    <w:rsid w:val="007939B0"/>
    <w:rsid w:val="00794237"/>
    <w:rsid w:val="00796E78"/>
    <w:rsid w:val="007975EA"/>
    <w:rsid w:val="007A57D2"/>
    <w:rsid w:val="007A5E08"/>
    <w:rsid w:val="007A5EF7"/>
    <w:rsid w:val="007A64F9"/>
    <w:rsid w:val="007A6E80"/>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3C1A"/>
    <w:rsid w:val="00804A15"/>
    <w:rsid w:val="008074D9"/>
    <w:rsid w:val="0080751D"/>
    <w:rsid w:val="008118BE"/>
    <w:rsid w:val="00811912"/>
    <w:rsid w:val="00812348"/>
    <w:rsid w:val="00813884"/>
    <w:rsid w:val="008142F2"/>
    <w:rsid w:val="0081504F"/>
    <w:rsid w:val="008157B8"/>
    <w:rsid w:val="00817F2F"/>
    <w:rsid w:val="00821538"/>
    <w:rsid w:val="0082303D"/>
    <w:rsid w:val="00823D1F"/>
    <w:rsid w:val="00826175"/>
    <w:rsid w:val="00831368"/>
    <w:rsid w:val="008316F6"/>
    <w:rsid w:val="00831EE3"/>
    <w:rsid w:val="00833FB6"/>
    <w:rsid w:val="00837639"/>
    <w:rsid w:val="00842925"/>
    <w:rsid w:val="00843515"/>
    <w:rsid w:val="00843975"/>
    <w:rsid w:val="00845B06"/>
    <w:rsid w:val="00847F47"/>
    <w:rsid w:val="00851A4E"/>
    <w:rsid w:val="00852B32"/>
    <w:rsid w:val="00852CFF"/>
    <w:rsid w:val="00853BBE"/>
    <w:rsid w:val="00857BC1"/>
    <w:rsid w:val="008602DE"/>
    <w:rsid w:val="0086180E"/>
    <w:rsid w:val="00861CC3"/>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169B"/>
    <w:rsid w:val="008B5871"/>
    <w:rsid w:val="008B58B0"/>
    <w:rsid w:val="008C048C"/>
    <w:rsid w:val="008C06C0"/>
    <w:rsid w:val="008C20DC"/>
    <w:rsid w:val="008C5680"/>
    <w:rsid w:val="008C6E1D"/>
    <w:rsid w:val="008C720F"/>
    <w:rsid w:val="008D026A"/>
    <w:rsid w:val="008D385C"/>
    <w:rsid w:val="008E058C"/>
    <w:rsid w:val="008E3365"/>
    <w:rsid w:val="008E4209"/>
    <w:rsid w:val="008E4602"/>
    <w:rsid w:val="008E532E"/>
    <w:rsid w:val="008E6027"/>
    <w:rsid w:val="008F10A6"/>
    <w:rsid w:val="008F424C"/>
    <w:rsid w:val="008F4E32"/>
    <w:rsid w:val="008F5FB8"/>
    <w:rsid w:val="009003B1"/>
    <w:rsid w:val="00901744"/>
    <w:rsid w:val="009018DD"/>
    <w:rsid w:val="00903FA8"/>
    <w:rsid w:val="00905D53"/>
    <w:rsid w:val="00910553"/>
    <w:rsid w:val="009115B8"/>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07C8"/>
    <w:rsid w:val="0094251D"/>
    <w:rsid w:val="00942E67"/>
    <w:rsid w:val="00947023"/>
    <w:rsid w:val="0095099B"/>
    <w:rsid w:val="00951E4A"/>
    <w:rsid w:val="009554F5"/>
    <w:rsid w:val="00960308"/>
    <w:rsid w:val="0096092F"/>
    <w:rsid w:val="00960FE8"/>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CE7"/>
    <w:rsid w:val="0099474C"/>
    <w:rsid w:val="00994907"/>
    <w:rsid w:val="009951C0"/>
    <w:rsid w:val="0099571E"/>
    <w:rsid w:val="0099686B"/>
    <w:rsid w:val="009973E0"/>
    <w:rsid w:val="009B11CA"/>
    <w:rsid w:val="009B3814"/>
    <w:rsid w:val="009B3ECF"/>
    <w:rsid w:val="009B6F9F"/>
    <w:rsid w:val="009B7A61"/>
    <w:rsid w:val="009B7F6F"/>
    <w:rsid w:val="009C3894"/>
    <w:rsid w:val="009C693E"/>
    <w:rsid w:val="009D1777"/>
    <w:rsid w:val="009D2A9C"/>
    <w:rsid w:val="009D5EDF"/>
    <w:rsid w:val="009D6B9C"/>
    <w:rsid w:val="009E0CC5"/>
    <w:rsid w:val="009E18CB"/>
    <w:rsid w:val="009E2216"/>
    <w:rsid w:val="009E2960"/>
    <w:rsid w:val="009E38CC"/>
    <w:rsid w:val="009E4C54"/>
    <w:rsid w:val="009E4DD7"/>
    <w:rsid w:val="009E5E8B"/>
    <w:rsid w:val="009E6908"/>
    <w:rsid w:val="009F1866"/>
    <w:rsid w:val="009F1EC4"/>
    <w:rsid w:val="009F1F64"/>
    <w:rsid w:val="009F4158"/>
    <w:rsid w:val="009F542D"/>
    <w:rsid w:val="009F54AC"/>
    <w:rsid w:val="009F78C2"/>
    <w:rsid w:val="00A035DF"/>
    <w:rsid w:val="00A046A6"/>
    <w:rsid w:val="00A04EFA"/>
    <w:rsid w:val="00A077A0"/>
    <w:rsid w:val="00A07F3E"/>
    <w:rsid w:val="00A12D46"/>
    <w:rsid w:val="00A12E42"/>
    <w:rsid w:val="00A12FBE"/>
    <w:rsid w:val="00A13CA0"/>
    <w:rsid w:val="00A20903"/>
    <w:rsid w:val="00A216BB"/>
    <w:rsid w:val="00A22017"/>
    <w:rsid w:val="00A23F02"/>
    <w:rsid w:val="00A26C14"/>
    <w:rsid w:val="00A26D9C"/>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50B"/>
    <w:rsid w:val="00A6493B"/>
    <w:rsid w:val="00A64946"/>
    <w:rsid w:val="00A64E4E"/>
    <w:rsid w:val="00A67674"/>
    <w:rsid w:val="00A7286A"/>
    <w:rsid w:val="00A72EA4"/>
    <w:rsid w:val="00A75192"/>
    <w:rsid w:val="00A76008"/>
    <w:rsid w:val="00A762EB"/>
    <w:rsid w:val="00A7640D"/>
    <w:rsid w:val="00A807A7"/>
    <w:rsid w:val="00A807DD"/>
    <w:rsid w:val="00A860E3"/>
    <w:rsid w:val="00A9119A"/>
    <w:rsid w:val="00A9156B"/>
    <w:rsid w:val="00A91B51"/>
    <w:rsid w:val="00A95DFC"/>
    <w:rsid w:val="00A96CB7"/>
    <w:rsid w:val="00A9778F"/>
    <w:rsid w:val="00AA006F"/>
    <w:rsid w:val="00AA2D27"/>
    <w:rsid w:val="00AA3701"/>
    <w:rsid w:val="00AA3D47"/>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2DB7"/>
    <w:rsid w:val="00AC3D0C"/>
    <w:rsid w:val="00AC46DF"/>
    <w:rsid w:val="00AD3D7B"/>
    <w:rsid w:val="00AD5158"/>
    <w:rsid w:val="00AD77E2"/>
    <w:rsid w:val="00AE0B41"/>
    <w:rsid w:val="00AE35CD"/>
    <w:rsid w:val="00AE6937"/>
    <w:rsid w:val="00AE70CA"/>
    <w:rsid w:val="00AE725B"/>
    <w:rsid w:val="00AE7584"/>
    <w:rsid w:val="00AF199A"/>
    <w:rsid w:val="00AF1AD0"/>
    <w:rsid w:val="00AF27C6"/>
    <w:rsid w:val="00B00B01"/>
    <w:rsid w:val="00B014FD"/>
    <w:rsid w:val="00B036C7"/>
    <w:rsid w:val="00B068A3"/>
    <w:rsid w:val="00B06A41"/>
    <w:rsid w:val="00B1067D"/>
    <w:rsid w:val="00B11312"/>
    <w:rsid w:val="00B11417"/>
    <w:rsid w:val="00B11C7C"/>
    <w:rsid w:val="00B11D95"/>
    <w:rsid w:val="00B11EAB"/>
    <w:rsid w:val="00B12422"/>
    <w:rsid w:val="00B131AC"/>
    <w:rsid w:val="00B13ECC"/>
    <w:rsid w:val="00B175C9"/>
    <w:rsid w:val="00B25DC6"/>
    <w:rsid w:val="00B34F56"/>
    <w:rsid w:val="00B35DA3"/>
    <w:rsid w:val="00B35DE7"/>
    <w:rsid w:val="00B405D1"/>
    <w:rsid w:val="00B45EA2"/>
    <w:rsid w:val="00B46FD5"/>
    <w:rsid w:val="00B47395"/>
    <w:rsid w:val="00B508E6"/>
    <w:rsid w:val="00B510FF"/>
    <w:rsid w:val="00B51417"/>
    <w:rsid w:val="00B52BFD"/>
    <w:rsid w:val="00B53834"/>
    <w:rsid w:val="00B60700"/>
    <w:rsid w:val="00B648B0"/>
    <w:rsid w:val="00B64C37"/>
    <w:rsid w:val="00B65288"/>
    <w:rsid w:val="00B65E6D"/>
    <w:rsid w:val="00B67090"/>
    <w:rsid w:val="00B72149"/>
    <w:rsid w:val="00B8070D"/>
    <w:rsid w:val="00B81164"/>
    <w:rsid w:val="00B81637"/>
    <w:rsid w:val="00B83539"/>
    <w:rsid w:val="00B84181"/>
    <w:rsid w:val="00B85EC2"/>
    <w:rsid w:val="00B85F14"/>
    <w:rsid w:val="00B86999"/>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5CB2"/>
    <w:rsid w:val="00BD63A2"/>
    <w:rsid w:val="00BD661F"/>
    <w:rsid w:val="00BD67BC"/>
    <w:rsid w:val="00BD7F91"/>
    <w:rsid w:val="00BE0C64"/>
    <w:rsid w:val="00BE2127"/>
    <w:rsid w:val="00BE29F3"/>
    <w:rsid w:val="00BE4344"/>
    <w:rsid w:val="00BE43E7"/>
    <w:rsid w:val="00BE61D7"/>
    <w:rsid w:val="00BE77D1"/>
    <w:rsid w:val="00BF0602"/>
    <w:rsid w:val="00BF0F33"/>
    <w:rsid w:val="00BF12DF"/>
    <w:rsid w:val="00BF5B50"/>
    <w:rsid w:val="00BF5BA5"/>
    <w:rsid w:val="00C005F4"/>
    <w:rsid w:val="00C019E1"/>
    <w:rsid w:val="00C044B3"/>
    <w:rsid w:val="00C04580"/>
    <w:rsid w:val="00C05D2A"/>
    <w:rsid w:val="00C06A05"/>
    <w:rsid w:val="00C10E14"/>
    <w:rsid w:val="00C134E5"/>
    <w:rsid w:val="00C140BE"/>
    <w:rsid w:val="00C14D35"/>
    <w:rsid w:val="00C16F9C"/>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40443"/>
    <w:rsid w:val="00C40D1B"/>
    <w:rsid w:val="00C41C42"/>
    <w:rsid w:val="00C43EA3"/>
    <w:rsid w:val="00C47B9A"/>
    <w:rsid w:val="00C50FBD"/>
    <w:rsid w:val="00C5158D"/>
    <w:rsid w:val="00C53E30"/>
    <w:rsid w:val="00C54B8C"/>
    <w:rsid w:val="00C61DE7"/>
    <w:rsid w:val="00C63878"/>
    <w:rsid w:val="00C63D21"/>
    <w:rsid w:val="00C649E5"/>
    <w:rsid w:val="00C660F1"/>
    <w:rsid w:val="00C7080D"/>
    <w:rsid w:val="00C70F5C"/>
    <w:rsid w:val="00C717BC"/>
    <w:rsid w:val="00C718EC"/>
    <w:rsid w:val="00C720FD"/>
    <w:rsid w:val="00C722C5"/>
    <w:rsid w:val="00C73309"/>
    <w:rsid w:val="00C75827"/>
    <w:rsid w:val="00C771FA"/>
    <w:rsid w:val="00C86D24"/>
    <w:rsid w:val="00C90434"/>
    <w:rsid w:val="00C944E4"/>
    <w:rsid w:val="00C95048"/>
    <w:rsid w:val="00C959DA"/>
    <w:rsid w:val="00C96A79"/>
    <w:rsid w:val="00CA3796"/>
    <w:rsid w:val="00CA56D0"/>
    <w:rsid w:val="00CA5797"/>
    <w:rsid w:val="00CB0D20"/>
    <w:rsid w:val="00CB1D8E"/>
    <w:rsid w:val="00CB4B59"/>
    <w:rsid w:val="00CB7159"/>
    <w:rsid w:val="00CC0F41"/>
    <w:rsid w:val="00CC2105"/>
    <w:rsid w:val="00CC2945"/>
    <w:rsid w:val="00CC4C41"/>
    <w:rsid w:val="00CC5601"/>
    <w:rsid w:val="00CC6780"/>
    <w:rsid w:val="00CC7A9B"/>
    <w:rsid w:val="00CD1768"/>
    <w:rsid w:val="00CD181B"/>
    <w:rsid w:val="00CD1A44"/>
    <w:rsid w:val="00CD1C2F"/>
    <w:rsid w:val="00CD48CE"/>
    <w:rsid w:val="00CD4E04"/>
    <w:rsid w:val="00CE4EAA"/>
    <w:rsid w:val="00CE66FE"/>
    <w:rsid w:val="00CE6F9B"/>
    <w:rsid w:val="00CF09BC"/>
    <w:rsid w:val="00CF3C29"/>
    <w:rsid w:val="00CF3FB2"/>
    <w:rsid w:val="00CF4508"/>
    <w:rsid w:val="00CF632D"/>
    <w:rsid w:val="00CF73EB"/>
    <w:rsid w:val="00CF7AF6"/>
    <w:rsid w:val="00CF7E94"/>
    <w:rsid w:val="00D00D06"/>
    <w:rsid w:val="00D03123"/>
    <w:rsid w:val="00D1159B"/>
    <w:rsid w:val="00D11CAB"/>
    <w:rsid w:val="00D11D37"/>
    <w:rsid w:val="00D150E8"/>
    <w:rsid w:val="00D17431"/>
    <w:rsid w:val="00D17E00"/>
    <w:rsid w:val="00D213AF"/>
    <w:rsid w:val="00D22F35"/>
    <w:rsid w:val="00D246EB"/>
    <w:rsid w:val="00D25F1F"/>
    <w:rsid w:val="00D27621"/>
    <w:rsid w:val="00D303E6"/>
    <w:rsid w:val="00D3203C"/>
    <w:rsid w:val="00D331F9"/>
    <w:rsid w:val="00D36812"/>
    <w:rsid w:val="00D37014"/>
    <w:rsid w:val="00D409F5"/>
    <w:rsid w:val="00D40CD3"/>
    <w:rsid w:val="00D420B1"/>
    <w:rsid w:val="00D43462"/>
    <w:rsid w:val="00D50AD8"/>
    <w:rsid w:val="00D527B4"/>
    <w:rsid w:val="00D60172"/>
    <w:rsid w:val="00D60591"/>
    <w:rsid w:val="00D60ECC"/>
    <w:rsid w:val="00D62869"/>
    <w:rsid w:val="00D62DE2"/>
    <w:rsid w:val="00D63C1F"/>
    <w:rsid w:val="00D641B6"/>
    <w:rsid w:val="00D655C0"/>
    <w:rsid w:val="00D66D73"/>
    <w:rsid w:val="00D67318"/>
    <w:rsid w:val="00D70012"/>
    <w:rsid w:val="00D712BF"/>
    <w:rsid w:val="00D72955"/>
    <w:rsid w:val="00D754B7"/>
    <w:rsid w:val="00D80442"/>
    <w:rsid w:val="00D819A8"/>
    <w:rsid w:val="00D82A32"/>
    <w:rsid w:val="00D8304E"/>
    <w:rsid w:val="00D92C35"/>
    <w:rsid w:val="00D93554"/>
    <w:rsid w:val="00D94882"/>
    <w:rsid w:val="00D97DBD"/>
    <w:rsid w:val="00DA05D3"/>
    <w:rsid w:val="00DA2D65"/>
    <w:rsid w:val="00DA2DB1"/>
    <w:rsid w:val="00DA5DAA"/>
    <w:rsid w:val="00DA6114"/>
    <w:rsid w:val="00DA7760"/>
    <w:rsid w:val="00DB03B0"/>
    <w:rsid w:val="00DB1A99"/>
    <w:rsid w:val="00DB1B4E"/>
    <w:rsid w:val="00DB27EF"/>
    <w:rsid w:val="00DB340C"/>
    <w:rsid w:val="00DB417E"/>
    <w:rsid w:val="00DB64BB"/>
    <w:rsid w:val="00DC1753"/>
    <w:rsid w:val="00DC2433"/>
    <w:rsid w:val="00DC34DA"/>
    <w:rsid w:val="00DD0334"/>
    <w:rsid w:val="00DD0CE1"/>
    <w:rsid w:val="00DD101C"/>
    <w:rsid w:val="00DD332E"/>
    <w:rsid w:val="00DD545F"/>
    <w:rsid w:val="00DD7EB6"/>
    <w:rsid w:val="00DD7FD5"/>
    <w:rsid w:val="00DE1AE2"/>
    <w:rsid w:val="00DE21F4"/>
    <w:rsid w:val="00DE2886"/>
    <w:rsid w:val="00DE2D3F"/>
    <w:rsid w:val="00DE68B8"/>
    <w:rsid w:val="00DF00FC"/>
    <w:rsid w:val="00DF0701"/>
    <w:rsid w:val="00DF1C03"/>
    <w:rsid w:val="00DF4C73"/>
    <w:rsid w:val="00DF667A"/>
    <w:rsid w:val="00DF689D"/>
    <w:rsid w:val="00DF7C2B"/>
    <w:rsid w:val="00E02B51"/>
    <w:rsid w:val="00E02CB5"/>
    <w:rsid w:val="00E03A90"/>
    <w:rsid w:val="00E065DC"/>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48BE"/>
    <w:rsid w:val="00E374AB"/>
    <w:rsid w:val="00E40790"/>
    <w:rsid w:val="00E40C8C"/>
    <w:rsid w:val="00E41DBE"/>
    <w:rsid w:val="00E420DC"/>
    <w:rsid w:val="00E5053E"/>
    <w:rsid w:val="00E51493"/>
    <w:rsid w:val="00E5267F"/>
    <w:rsid w:val="00E54950"/>
    <w:rsid w:val="00E55C8C"/>
    <w:rsid w:val="00E564DA"/>
    <w:rsid w:val="00E5715B"/>
    <w:rsid w:val="00E60246"/>
    <w:rsid w:val="00E60ECC"/>
    <w:rsid w:val="00E62322"/>
    <w:rsid w:val="00E649F9"/>
    <w:rsid w:val="00E67D3A"/>
    <w:rsid w:val="00E71161"/>
    <w:rsid w:val="00E72AEF"/>
    <w:rsid w:val="00E72C19"/>
    <w:rsid w:val="00E72CF5"/>
    <w:rsid w:val="00E74242"/>
    <w:rsid w:val="00E752DD"/>
    <w:rsid w:val="00E7588E"/>
    <w:rsid w:val="00E77438"/>
    <w:rsid w:val="00E83108"/>
    <w:rsid w:val="00E833E1"/>
    <w:rsid w:val="00E86DF3"/>
    <w:rsid w:val="00E87691"/>
    <w:rsid w:val="00E9126B"/>
    <w:rsid w:val="00E925BB"/>
    <w:rsid w:val="00E93647"/>
    <w:rsid w:val="00E94E7F"/>
    <w:rsid w:val="00E95619"/>
    <w:rsid w:val="00E961A3"/>
    <w:rsid w:val="00E9769A"/>
    <w:rsid w:val="00EA3F71"/>
    <w:rsid w:val="00EA4E7C"/>
    <w:rsid w:val="00EA5774"/>
    <w:rsid w:val="00EA6D04"/>
    <w:rsid w:val="00EB51B6"/>
    <w:rsid w:val="00EB6D07"/>
    <w:rsid w:val="00EC1ABE"/>
    <w:rsid w:val="00EC2476"/>
    <w:rsid w:val="00ED0CDF"/>
    <w:rsid w:val="00ED1B3D"/>
    <w:rsid w:val="00ED33A7"/>
    <w:rsid w:val="00ED43FC"/>
    <w:rsid w:val="00ED4AF0"/>
    <w:rsid w:val="00ED4D94"/>
    <w:rsid w:val="00ED4E18"/>
    <w:rsid w:val="00ED5DE2"/>
    <w:rsid w:val="00ED7C14"/>
    <w:rsid w:val="00EE08B3"/>
    <w:rsid w:val="00EE0EF1"/>
    <w:rsid w:val="00EF063C"/>
    <w:rsid w:val="00EF1575"/>
    <w:rsid w:val="00EF5A3B"/>
    <w:rsid w:val="00EF7194"/>
    <w:rsid w:val="00F05338"/>
    <w:rsid w:val="00F0694E"/>
    <w:rsid w:val="00F07A14"/>
    <w:rsid w:val="00F12593"/>
    <w:rsid w:val="00F15D2D"/>
    <w:rsid w:val="00F170DE"/>
    <w:rsid w:val="00F208AE"/>
    <w:rsid w:val="00F21D00"/>
    <w:rsid w:val="00F23C51"/>
    <w:rsid w:val="00F26E6D"/>
    <w:rsid w:val="00F30CEE"/>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6739"/>
    <w:rsid w:val="00F57ECE"/>
    <w:rsid w:val="00F65367"/>
    <w:rsid w:val="00F6752C"/>
    <w:rsid w:val="00F67B8A"/>
    <w:rsid w:val="00F707C0"/>
    <w:rsid w:val="00F71314"/>
    <w:rsid w:val="00F7198C"/>
    <w:rsid w:val="00F719A2"/>
    <w:rsid w:val="00F73D78"/>
    <w:rsid w:val="00F750A4"/>
    <w:rsid w:val="00F759F9"/>
    <w:rsid w:val="00F76115"/>
    <w:rsid w:val="00F80CAF"/>
    <w:rsid w:val="00F82717"/>
    <w:rsid w:val="00F84C78"/>
    <w:rsid w:val="00F85A60"/>
    <w:rsid w:val="00F86CA4"/>
    <w:rsid w:val="00F87DB5"/>
    <w:rsid w:val="00F91DDC"/>
    <w:rsid w:val="00F92196"/>
    <w:rsid w:val="00F92AB2"/>
    <w:rsid w:val="00F9535F"/>
    <w:rsid w:val="00F978D0"/>
    <w:rsid w:val="00F97F73"/>
    <w:rsid w:val="00FA1DFC"/>
    <w:rsid w:val="00FA1EFA"/>
    <w:rsid w:val="00FA3BB1"/>
    <w:rsid w:val="00FA4EE1"/>
    <w:rsid w:val="00FA54D8"/>
    <w:rsid w:val="00FA5CEE"/>
    <w:rsid w:val="00FB0B8D"/>
    <w:rsid w:val="00FB1178"/>
    <w:rsid w:val="00FB4F33"/>
    <w:rsid w:val="00FB763B"/>
    <w:rsid w:val="00FC166E"/>
    <w:rsid w:val="00FC1FA0"/>
    <w:rsid w:val="00FC20B4"/>
    <w:rsid w:val="00FD023D"/>
    <w:rsid w:val="00FD1A76"/>
    <w:rsid w:val="00FD45B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 w:val="212E5E1B"/>
    <w:rsid w:val="76544B51"/>
    <w:rsid w:val="79E0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0"/>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3">
    <w:name w:val="heading 2"/>
    <w:basedOn w:val="1"/>
    <w:next w:val="1"/>
    <w:link w:val="13"/>
    <w:qFormat/>
    <w:uiPriority w:val="0"/>
    <w:pPr>
      <w:keepNext/>
      <w:keepLines/>
      <w:tabs>
        <w:tab w:val="left" w:pos="1440"/>
      </w:tabs>
      <w:spacing w:before="260" w:after="260" w:line="416" w:lineRule="auto"/>
      <w:ind w:left="1440" w:hanging="360"/>
      <w:outlineLvl w:val="1"/>
    </w:pPr>
    <w:rPr>
      <w:rFonts w:ascii="Arial" w:hAnsi="Arial" w:eastAsia="黑体" w:cs="Times New Roman"/>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7"/>
    <w:uiPriority w:val="0"/>
    <w:rPr>
      <w:rFonts w:ascii="宋体"/>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iPriority w:val="0"/>
  </w:style>
  <w:style w:type="character" w:customStyle="1" w:styleId="12">
    <w:name w:val="标题 1 Char"/>
    <w:link w:val="2"/>
    <w:uiPriority w:val="0"/>
    <w:rPr>
      <w:b/>
      <w:bCs/>
      <w:kern w:val="44"/>
      <w:sz w:val="44"/>
      <w:szCs w:val="44"/>
    </w:rPr>
  </w:style>
  <w:style w:type="character" w:customStyle="1" w:styleId="13">
    <w:name w:val="标题 2 Char"/>
    <w:link w:val="3"/>
    <w:uiPriority w:val="0"/>
    <w:rPr>
      <w:rFonts w:ascii="Arial" w:hAnsi="Arial" w:eastAsia="黑体"/>
      <w:b/>
      <w:bCs/>
      <w:kern w:val="2"/>
      <w:sz w:val="32"/>
      <w:szCs w:val="32"/>
    </w:rPr>
  </w:style>
  <w:style w:type="character" w:customStyle="1" w:styleId="14">
    <w:name w:val="jq4图片注释 Char"/>
    <w:link w:val="15"/>
    <w:uiPriority w:val="0"/>
    <w:rPr>
      <w:rFonts w:eastAsia="Times New Roman"/>
      <w:sz w:val="18"/>
      <w:szCs w:val="24"/>
      <w:lang w:val="en-US" w:eastAsia="zh-CN" w:bidi="ar-SA"/>
    </w:rPr>
  </w:style>
  <w:style w:type="paragraph" w:customStyle="1" w:styleId="15">
    <w:name w:val="jq4图片注释"/>
    <w:next w:val="1"/>
    <w:link w:val="14"/>
    <w:qFormat/>
    <w:uiPriority w:val="0"/>
    <w:pPr>
      <w:spacing w:before="20" w:after="50" w:line="300" w:lineRule="auto"/>
      <w:ind w:firstLine="200"/>
      <w:jc w:val="center"/>
    </w:pPr>
    <w:rPr>
      <w:rFonts w:ascii="Times New Roman" w:hAnsi="Times New Roman" w:eastAsia="Times New Roman" w:cs="Times New Roman"/>
      <w:sz w:val="18"/>
      <w:szCs w:val="24"/>
      <w:lang w:val="en-US" w:eastAsia="zh-CN" w:bidi="ar-SA"/>
    </w:rPr>
  </w:style>
  <w:style w:type="paragraph" w:customStyle="1" w:styleId="16">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文档结构图 Char"/>
    <w:link w:val="4"/>
    <w:uiPriority w:val="0"/>
    <w:rPr>
      <w:rFonts w:ascii="宋体" w:hAnsi="Calibri" w:cs="黑体"/>
      <w:kern w:val="2"/>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DF47-13DB-4CB2-88B4-49017C981F25}">
  <ds:schemaRefs/>
</ds:datastoreItem>
</file>

<file path=docProps/app.xml><?xml version="1.0" encoding="utf-8"?>
<Properties xmlns="http://schemas.openxmlformats.org/officeDocument/2006/extended-properties" xmlns:vt="http://schemas.openxmlformats.org/officeDocument/2006/docPropsVTypes">
  <Template>Normal</Template>
  <Company>czj</Company>
  <Pages>22</Pages>
  <Words>5986</Words>
  <Characters>7775</Characters>
  <Lines>34</Lines>
  <Paragraphs>20</Paragraphs>
  <TotalTime>2</TotalTime>
  <ScaleCrop>false</ScaleCrop>
  <LinksUpToDate>false</LinksUpToDate>
  <CharactersWithSpaces>8459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2022-09-14T07:15:00Z</dcterms:created>
  <dc:creator>user</dc:creator>
  <cp:lastModifiedBy>anne（谈继秀）</cp:lastModifiedBy>
  <cp:lastPrinted>2022-09-14T08:12:00Z</cp:lastPrinted>
  <dcterms:modified xsi:type="dcterms:W3CDTF">2022-09-15T07:56:13Z</dcterms:modified>
  <dc:title>附件2：预算主管部门公开样张</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02CB8AB6658D4A538E5881F2DDB33C61</vt:lpwstr>
  </property>
</Properties>
</file>